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ind w:firstLine="0"/>
        <w:jc w:val="both"/>
        <w:rPr>
          <w:rFonts w:hint="eastAsia" w:ascii="宋体" w:hAnsi="宋体" w:cs="宋体"/>
          <w:b/>
          <w:bCs/>
          <w:sz w:val="84"/>
        </w:rPr>
      </w:pPr>
    </w:p>
    <w:p>
      <w:pPr>
        <w:pStyle w:val="70"/>
        <w:ind w:firstLine="0"/>
        <w:jc w:val="center"/>
        <w:rPr>
          <w:rFonts w:ascii="宋体" w:hAnsi="宋体" w:cs="宋体"/>
          <w:b/>
          <w:bCs/>
          <w:sz w:val="84"/>
        </w:rPr>
      </w:pPr>
      <w:r>
        <w:rPr>
          <w:rFonts w:hint="eastAsia" w:ascii="宋体" w:hAnsi="宋体" w:cs="宋体"/>
          <w:b/>
          <w:bCs/>
          <w:sz w:val="84"/>
        </w:rPr>
        <w:t xml:space="preserve"> </w:t>
      </w:r>
      <w:r>
        <w:rPr>
          <w:rFonts w:hint="eastAsia" w:ascii="宋体" w:hAnsi="宋体" w:cs="宋体"/>
          <w:b/>
          <w:bCs/>
          <w:sz w:val="52"/>
          <w:szCs w:val="52"/>
        </w:rPr>
        <w:t>竞争性磋商文件</w:t>
      </w:r>
    </w:p>
    <w:p>
      <w:pPr>
        <w:pStyle w:val="70"/>
        <w:ind w:firstLine="0"/>
        <w:rPr>
          <w:rFonts w:ascii="宋体" w:hAnsi="宋体" w:cs="宋体"/>
          <w:b/>
          <w:bCs/>
          <w:sz w:val="32"/>
          <w:szCs w:val="32"/>
        </w:rPr>
      </w:pPr>
    </w:p>
    <w:p>
      <w:pPr>
        <w:pStyle w:val="70"/>
        <w:ind w:firstLine="643" w:firstLineChars="200"/>
        <w:rPr>
          <w:rFonts w:ascii="宋体" w:hAnsi="宋体" w:cs="宋体"/>
          <w:b/>
          <w:bCs/>
          <w:sz w:val="32"/>
        </w:rPr>
      </w:pPr>
    </w:p>
    <w:p>
      <w:pPr>
        <w:pStyle w:val="70"/>
        <w:jc w:val="center"/>
        <w:rPr>
          <w:rFonts w:ascii="宋体" w:hAnsi="宋体" w:cs="宋体"/>
          <w:b/>
          <w:bCs/>
          <w:sz w:val="32"/>
        </w:rPr>
      </w:pPr>
      <w:r>
        <w:rPr>
          <w:rFonts w:hint="eastAsia" w:ascii="宋体" w:hAnsi="宋体" w:cs="宋体"/>
          <w:b/>
          <w:bCs/>
          <w:sz w:val="32"/>
        </w:rPr>
        <w:t>项目名称：泰州市农业农村局渔政无人机巡检采购</w:t>
      </w:r>
    </w:p>
    <w:p>
      <w:pPr>
        <w:pStyle w:val="70"/>
        <w:jc w:val="center"/>
        <w:rPr>
          <w:rFonts w:ascii="宋体" w:hAnsi="宋体" w:cs="宋体"/>
          <w:b/>
          <w:bCs/>
          <w:sz w:val="32"/>
        </w:rPr>
      </w:pPr>
    </w:p>
    <w:p>
      <w:pPr>
        <w:pStyle w:val="70"/>
        <w:jc w:val="center"/>
        <w:rPr>
          <w:rFonts w:ascii="宋体" w:hAnsi="宋体" w:cs="宋体"/>
          <w:b/>
          <w:bCs/>
          <w:color w:val="FF0000"/>
          <w:sz w:val="32"/>
        </w:rPr>
      </w:pPr>
    </w:p>
    <w:p>
      <w:pPr>
        <w:pStyle w:val="70"/>
        <w:jc w:val="center"/>
        <w:rPr>
          <w:rFonts w:ascii="宋体" w:hAnsi="宋体" w:cs="宋体"/>
          <w:b/>
          <w:bCs/>
          <w:sz w:val="32"/>
        </w:rPr>
      </w:pPr>
      <w:r>
        <w:rPr>
          <w:rFonts w:hint="eastAsia" w:ascii="宋体" w:hAnsi="宋体" w:cs="宋体"/>
          <w:b/>
          <w:bCs/>
          <w:sz w:val="32"/>
        </w:rPr>
        <w:t>编号:JSZJY</w:t>
      </w:r>
      <w:r>
        <w:rPr>
          <w:rFonts w:ascii="宋体" w:hAnsi="宋体" w:cs="宋体"/>
          <w:b/>
          <w:bCs/>
          <w:sz w:val="32"/>
        </w:rPr>
        <w:t>2023-04</w:t>
      </w:r>
      <w:r>
        <w:rPr>
          <w:rFonts w:hint="eastAsia" w:ascii="宋体" w:hAnsi="宋体" w:cs="宋体"/>
          <w:b/>
          <w:bCs/>
          <w:sz w:val="32"/>
        </w:rPr>
        <w:t>8</w:t>
      </w:r>
    </w:p>
    <w:p>
      <w:pPr>
        <w:pStyle w:val="70"/>
        <w:ind w:firstLine="0"/>
        <w:jc w:val="center"/>
        <w:rPr>
          <w:rFonts w:ascii="宋体" w:hAnsi="宋体" w:cs="宋体"/>
          <w:b/>
          <w:sz w:val="52"/>
          <w:szCs w:val="52"/>
        </w:rPr>
      </w:pPr>
    </w:p>
    <w:p>
      <w:pPr>
        <w:pStyle w:val="70"/>
        <w:ind w:firstLine="479" w:firstLineChars="149"/>
        <w:rPr>
          <w:rFonts w:ascii="宋体" w:hAnsi="宋体" w:cs="宋体"/>
          <w:b/>
          <w:bCs/>
          <w:sz w:val="32"/>
        </w:rPr>
      </w:pPr>
    </w:p>
    <w:p>
      <w:pPr>
        <w:pStyle w:val="70"/>
        <w:ind w:firstLine="0"/>
        <w:jc w:val="both"/>
        <w:rPr>
          <w:rFonts w:ascii="宋体" w:hAnsi="宋体" w:cs="宋体"/>
          <w:b/>
          <w:bCs/>
          <w:sz w:val="32"/>
        </w:rPr>
      </w:pPr>
    </w:p>
    <w:p>
      <w:pPr>
        <w:pStyle w:val="70"/>
        <w:ind w:firstLine="0"/>
        <w:jc w:val="center"/>
        <w:rPr>
          <w:rFonts w:ascii="宋体" w:hAnsi="宋体" w:cs="宋体"/>
          <w:b/>
          <w:bCs/>
          <w:sz w:val="32"/>
        </w:rPr>
      </w:pPr>
      <w:r>
        <w:rPr>
          <w:rFonts w:hint="eastAsia" w:ascii="宋体" w:hAnsi="宋体" w:cs="宋体"/>
          <w:b/>
          <w:bCs/>
          <w:sz w:val="32"/>
        </w:rPr>
        <w:t>采购人：泰州市农业农村局</w:t>
      </w:r>
    </w:p>
    <w:p>
      <w:pPr>
        <w:pStyle w:val="70"/>
        <w:ind w:firstLine="0"/>
        <w:jc w:val="both"/>
        <w:rPr>
          <w:rFonts w:ascii="宋体" w:hAnsi="宋体" w:cs="宋体"/>
          <w:b/>
          <w:bCs/>
          <w:sz w:val="32"/>
        </w:rPr>
      </w:pPr>
    </w:p>
    <w:p>
      <w:pPr>
        <w:pStyle w:val="70"/>
        <w:ind w:firstLine="0"/>
        <w:jc w:val="center"/>
        <w:rPr>
          <w:rFonts w:ascii="宋体" w:hAnsi="宋体" w:cs="宋体"/>
          <w:b/>
          <w:bCs/>
          <w:sz w:val="32"/>
        </w:rPr>
      </w:pPr>
      <w:r>
        <w:rPr>
          <w:rFonts w:hint="eastAsia" w:ascii="宋体" w:hAnsi="宋体" w:cs="宋体"/>
          <w:b/>
          <w:bCs/>
          <w:sz w:val="32"/>
        </w:rPr>
        <w:t>代理机构：江苏兴加亿工程项目管理咨询有限公司</w:t>
      </w:r>
    </w:p>
    <w:p>
      <w:pPr>
        <w:pStyle w:val="70"/>
        <w:ind w:firstLine="0"/>
        <w:jc w:val="center"/>
        <w:rPr>
          <w:rFonts w:ascii="宋体" w:hAnsi="宋体" w:cs="宋体"/>
          <w:b/>
          <w:bCs/>
          <w:sz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 w:val="32"/>
        </w:rPr>
        <w:t xml:space="preserve"> 2023年</w:t>
      </w:r>
      <w:r>
        <w:rPr>
          <w:rFonts w:ascii="宋体" w:hAnsi="宋体" w:cs="宋体"/>
          <w:b/>
          <w:bCs/>
          <w:sz w:val="32"/>
        </w:rPr>
        <w:t>1</w:t>
      </w:r>
      <w:r>
        <w:rPr>
          <w:rFonts w:hint="eastAsia" w:ascii="宋体" w:hAnsi="宋体" w:cs="宋体"/>
          <w:b/>
          <w:bCs/>
          <w:sz w:val="32"/>
        </w:rPr>
        <w:t>1月</w:t>
      </w:r>
    </w:p>
    <w:p>
      <w:pPr>
        <w:spacing w:line="360" w:lineRule="auto"/>
        <w:jc w:val="center"/>
        <w:rPr>
          <w:rFonts w:ascii="宋体" w:hAnsi="宋体" w:cs="宋体"/>
          <w:b/>
          <w:bCs/>
          <w:sz w:val="24"/>
        </w:rPr>
      </w:pPr>
    </w:p>
    <w:p>
      <w:pPr>
        <w:spacing w:line="360" w:lineRule="auto"/>
        <w:jc w:val="center"/>
        <w:rPr>
          <w:rFonts w:ascii="宋体" w:hAnsi="宋体" w:cs="宋体"/>
          <w:b/>
          <w:bCs/>
          <w:sz w:val="30"/>
          <w:szCs w:val="30"/>
        </w:rPr>
      </w:pPr>
      <w:r>
        <w:rPr>
          <w:rFonts w:hint="eastAsia" w:ascii="宋体" w:hAnsi="宋体" w:cs="宋体"/>
          <w:b/>
          <w:bCs/>
          <w:sz w:val="30"/>
          <w:szCs w:val="30"/>
        </w:rPr>
        <w:t>目  录</w:t>
      </w:r>
    </w:p>
    <w:p>
      <w:pPr>
        <w:pStyle w:val="73"/>
        <w:tabs>
          <w:tab w:val="right" w:leader="dot" w:pos="8306"/>
        </w:tabs>
        <w:spacing w:line="480" w:lineRule="auto"/>
        <w:rPr>
          <w:rFonts w:ascii="宋体" w:hAnsi="宋体" w:cs="宋体"/>
          <w:b/>
          <w:bCs/>
          <w:sz w:val="24"/>
          <w:szCs w:val="24"/>
        </w:rPr>
      </w:pPr>
    </w:p>
    <w:p>
      <w:pPr>
        <w:pStyle w:val="73"/>
        <w:tabs>
          <w:tab w:val="right" w:leader="dot" w:pos="8306"/>
        </w:tabs>
        <w:spacing w:line="480" w:lineRule="auto"/>
        <w:rPr>
          <w:rFonts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TOC \o "1-1" \h \u </w:instrText>
      </w:r>
      <w:r>
        <w:rPr>
          <w:rFonts w:hint="eastAsia" w:ascii="宋体" w:hAnsi="宋体" w:cs="宋体"/>
          <w:b/>
          <w:bCs/>
          <w:sz w:val="24"/>
          <w:szCs w:val="24"/>
        </w:rPr>
        <w:fldChar w:fldCharType="separate"/>
      </w:r>
      <w:r>
        <w:fldChar w:fldCharType="begin"/>
      </w:r>
      <w:r>
        <w:instrText xml:space="preserve"> HYPERLINK \l "_Toc32220" </w:instrText>
      </w:r>
      <w:r>
        <w:fldChar w:fldCharType="separate"/>
      </w:r>
      <w:r>
        <w:rPr>
          <w:rFonts w:hint="eastAsia" w:ascii="宋体" w:hAnsi="宋体" w:cs="宋体"/>
          <w:b/>
          <w:bCs/>
          <w:sz w:val="24"/>
          <w:szCs w:val="24"/>
        </w:rPr>
        <w:t>第一章  竞争性磋商公告</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_Toc32220 </w:instrText>
      </w:r>
      <w:r>
        <w:rPr>
          <w:rFonts w:hint="eastAsia" w:ascii="宋体" w:hAnsi="宋体" w:cs="宋体"/>
          <w:b/>
          <w:bCs/>
          <w:sz w:val="24"/>
          <w:szCs w:val="24"/>
        </w:rPr>
        <w:fldChar w:fldCharType="separate"/>
      </w:r>
      <w:r>
        <w:rPr>
          <w:rFonts w:hint="eastAsia" w:ascii="宋体" w:hAnsi="宋体" w:cs="宋体"/>
          <w:b/>
          <w:bCs/>
          <w:sz w:val="24"/>
          <w:szCs w:val="24"/>
        </w:rPr>
        <w:t>1</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73"/>
        <w:tabs>
          <w:tab w:val="right" w:leader="dot" w:pos="8306"/>
        </w:tabs>
        <w:spacing w:line="480" w:lineRule="auto"/>
        <w:rPr>
          <w:rFonts w:ascii="宋体" w:hAnsi="宋体" w:cs="宋体"/>
          <w:b/>
          <w:bCs/>
          <w:sz w:val="24"/>
          <w:szCs w:val="24"/>
        </w:rPr>
      </w:pPr>
      <w:r>
        <w:fldChar w:fldCharType="begin"/>
      </w:r>
      <w:r>
        <w:instrText xml:space="preserve"> HYPERLINK \l "_Toc29867" </w:instrText>
      </w:r>
      <w:r>
        <w:fldChar w:fldCharType="separate"/>
      </w:r>
      <w:r>
        <w:rPr>
          <w:rFonts w:hint="eastAsia" w:ascii="宋体" w:hAnsi="宋体" w:cs="宋体"/>
          <w:b/>
          <w:bCs/>
          <w:sz w:val="24"/>
          <w:szCs w:val="24"/>
        </w:rPr>
        <w:t>第二章  参加磋商供应商须知</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_Toc29867 </w:instrText>
      </w:r>
      <w:r>
        <w:rPr>
          <w:rFonts w:hint="eastAsia" w:ascii="宋体" w:hAnsi="宋体" w:cs="宋体"/>
          <w:b/>
          <w:bCs/>
          <w:sz w:val="24"/>
          <w:szCs w:val="24"/>
        </w:rPr>
        <w:fldChar w:fldCharType="separate"/>
      </w:r>
      <w:r>
        <w:rPr>
          <w:rFonts w:hint="eastAsia" w:ascii="宋体" w:hAnsi="宋体" w:cs="宋体"/>
          <w:b/>
          <w:bCs/>
          <w:sz w:val="24"/>
          <w:szCs w:val="24"/>
        </w:rPr>
        <w:t>4</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73"/>
        <w:tabs>
          <w:tab w:val="right" w:leader="dot" w:pos="8306"/>
        </w:tabs>
        <w:spacing w:line="480" w:lineRule="auto"/>
        <w:rPr>
          <w:rFonts w:ascii="宋体" w:hAnsi="宋体" w:cs="宋体"/>
          <w:b/>
          <w:bCs/>
          <w:sz w:val="24"/>
          <w:szCs w:val="24"/>
        </w:rPr>
      </w:pPr>
      <w:r>
        <w:fldChar w:fldCharType="begin"/>
      </w:r>
      <w:r>
        <w:instrText xml:space="preserve"> HYPERLINK \l "_Toc6760" </w:instrText>
      </w:r>
      <w:r>
        <w:fldChar w:fldCharType="separate"/>
      </w:r>
      <w:r>
        <w:rPr>
          <w:rFonts w:hint="eastAsia" w:ascii="宋体" w:hAnsi="宋体" w:cs="宋体"/>
          <w:b/>
          <w:bCs/>
          <w:sz w:val="24"/>
          <w:szCs w:val="24"/>
        </w:rPr>
        <w:t>第三章  合同条款及格式</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_Toc6760 </w:instrText>
      </w:r>
      <w:r>
        <w:rPr>
          <w:rFonts w:hint="eastAsia" w:ascii="宋体" w:hAnsi="宋体" w:cs="宋体"/>
          <w:b/>
          <w:bCs/>
          <w:sz w:val="24"/>
          <w:szCs w:val="24"/>
        </w:rPr>
        <w:fldChar w:fldCharType="separate"/>
      </w:r>
      <w:r>
        <w:rPr>
          <w:rFonts w:hint="eastAsia" w:ascii="宋体" w:hAnsi="宋体" w:cs="宋体"/>
          <w:b/>
          <w:bCs/>
          <w:sz w:val="24"/>
          <w:szCs w:val="24"/>
        </w:rPr>
        <w:t>11</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73"/>
        <w:tabs>
          <w:tab w:val="right" w:leader="dot" w:pos="8306"/>
        </w:tabs>
        <w:spacing w:line="480" w:lineRule="auto"/>
        <w:rPr>
          <w:rFonts w:ascii="宋体" w:hAnsi="宋体" w:cs="宋体"/>
          <w:b/>
          <w:bCs/>
          <w:sz w:val="24"/>
          <w:szCs w:val="24"/>
        </w:rPr>
      </w:pPr>
      <w:r>
        <w:fldChar w:fldCharType="begin"/>
      </w:r>
      <w:r>
        <w:instrText xml:space="preserve"> HYPERLINK \l "_Toc2004" </w:instrText>
      </w:r>
      <w:r>
        <w:fldChar w:fldCharType="separate"/>
      </w:r>
      <w:r>
        <w:rPr>
          <w:rFonts w:hint="eastAsia" w:ascii="宋体" w:hAnsi="宋体" w:cs="宋体"/>
          <w:b/>
          <w:bCs/>
          <w:sz w:val="24"/>
          <w:szCs w:val="24"/>
        </w:rPr>
        <w:t>第四章 项目需求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_Toc2004 </w:instrText>
      </w:r>
      <w:r>
        <w:rPr>
          <w:rFonts w:hint="eastAsia" w:ascii="宋体" w:hAnsi="宋体" w:cs="宋体"/>
          <w:b/>
          <w:bCs/>
          <w:sz w:val="24"/>
          <w:szCs w:val="24"/>
        </w:rPr>
        <w:fldChar w:fldCharType="separate"/>
      </w:r>
      <w:r>
        <w:rPr>
          <w:rFonts w:hint="eastAsia" w:ascii="宋体" w:hAnsi="宋体" w:cs="宋体"/>
          <w:b/>
          <w:bCs/>
          <w:sz w:val="24"/>
          <w:szCs w:val="24"/>
        </w:rPr>
        <w:t>14</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73"/>
        <w:tabs>
          <w:tab w:val="right" w:leader="dot" w:pos="8306"/>
        </w:tabs>
        <w:spacing w:line="480" w:lineRule="auto"/>
        <w:rPr>
          <w:rFonts w:ascii="宋体" w:hAnsi="宋体" w:cs="宋体"/>
          <w:b/>
          <w:bCs/>
          <w:sz w:val="24"/>
          <w:szCs w:val="24"/>
        </w:rPr>
      </w:pPr>
      <w:r>
        <w:fldChar w:fldCharType="begin"/>
      </w:r>
      <w:r>
        <w:instrText xml:space="preserve"> HYPERLINK \l "_Toc12145" </w:instrText>
      </w:r>
      <w:r>
        <w:fldChar w:fldCharType="separate"/>
      </w:r>
      <w:r>
        <w:rPr>
          <w:rFonts w:hint="eastAsia" w:ascii="宋体" w:hAnsi="宋体" w:cs="宋体"/>
          <w:b/>
          <w:bCs/>
          <w:sz w:val="24"/>
          <w:szCs w:val="24"/>
        </w:rPr>
        <w:t>第五章 评审方法和评审标准</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_Toc12145 </w:instrText>
      </w:r>
      <w:r>
        <w:rPr>
          <w:rFonts w:hint="eastAsia" w:ascii="宋体" w:hAnsi="宋体" w:cs="宋体"/>
          <w:b/>
          <w:bCs/>
          <w:sz w:val="24"/>
          <w:szCs w:val="24"/>
        </w:rPr>
        <w:fldChar w:fldCharType="separate"/>
      </w:r>
      <w:r>
        <w:rPr>
          <w:rFonts w:hint="eastAsia" w:ascii="宋体" w:hAnsi="宋体" w:cs="宋体"/>
          <w:b/>
          <w:bCs/>
          <w:sz w:val="24"/>
          <w:szCs w:val="24"/>
        </w:rPr>
        <w:t>17</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73"/>
        <w:tabs>
          <w:tab w:val="right" w:leader="dot" w:pos="8306"/>
        </w:tabs>
        <w:spacing w:line="480" w:lineRule="auto"/>
        <w:rPr>
          <w:rFonts w:ascii="宋体" w:hAnsi="宋体" w:cs="宋体"/>
          <w:b/>
          <w:bCs/>
          <w:sz w:val="24"/>
          <w:szCs w:val="24"/>
        </w:rPr>
      </w:pPr>
      <w:r>
        <w:fldChar w:fldCharType="begin"/>
      </w:r>
      <w:r>
        <w:instrText xml:space="preserve"> HYPERLINK \l "_Toc32717" </w:instrText>
      </w:r>
      <w:r>
        <w:fldChar w:fldCharType="separate"/>
      </w:r>
      <w:r>
        <w:rPr>
          <w:rFonts w:hint="eastAsia" w:ascii="宋体" w:hAnsi="宋体" w:cs="宋体"/>
          <w:b/>
          <w:bCs/>
          <w:sz w:val="24"/>
          <w:szCs w:val="24"/>
        </w:rPr>
        <w:t>第六章  响应文件的组成和格式</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_Toc32717 </w:instrText>
      </w:r>
      <w:r>
        <w:rPr>
          <w:rFonts w:hint="eastAsia" w:ascii="宋体" w:hAnsi="宋体" w:cs="宋体"/>
          <w:b/>
          <w:bCs/>
          <w:sz w:val="24"/>
          <w:szCs w:val="24"/>
        </w:rPr>
        <w:fldChar w:fldCharType="separate"/>
      </w:r>
      <w:r>
        <w:rPr>
          <w:rFonts w:hint="eastAsia" w:ascii="宋体" w:hAnsi="宋体" w:cs="宋体"/>
          <w:b/>
          <w:bCs/>
          <w:sz w:val="24"/>
          <w:szCs w:val="24"/>
        </w:rPr>
        <w:t>19</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widowControl/>
        <w:jc w:val="left"/>
        <w:rPr>
          <w:rFonts w:ascii="宋体" w:hAnsi="宋体" w:cs="宋体"/>
          <w:b/>
          <w:bCs/>
          <w:sz w:val="32"/>
        </w:rPr>
        <w:sectPr>
          <w:pgSz w:w="11906" w:h="16838"/>
          <w:pgMar w:top="1440" w:right="1800" w:bottom="1440" w:left="1800" w:header="851" w:footer="992" w:gutter="0"/>
          <w:pgNumType w:start="1"/>
          <w:cols w:space="720" w:num="1"/>
          <w:docGrid w:type="lines" w:linePitch="312" w:charSpace="0"/>
        </w:sectPr>
      </w:pPr>
      <w:r>
        <w:rPr>
          <w:rFonts w:ascii="宋体" w:hAnsi="宋体" w:cs="宋体"/>
          <w:b/>
          <w:bCs/>
          <w:sz w:val="24"/>
        </w:rPr>
        <w:br w:type="page"/>
      </w:r>
      <w:r>
        <w:rPr>
          <w:rFonts w:hint="eastAsia" w:ascii="宋体" w:hAnsi="宋体" w:cs="宋体"/>
          <w:b/>
          <w:bCs/>
        </w:rPr>
        <w:fldChar w:fldCharType="end"/>
      </w:r>
    </w:p>
    <w:p>
      <w:pPr>
        <w:pStyle w:val="2"/>
        <w:numPr>
          <w:ilvl w:val="0"/>
          <w:numId w:val="4"/>
        </w:numPr>
        <w:rPr>
          <w:rFonts w:ascii="宋体" w:hAnsi="宋体" w:cs="宋体"/>
          <w:sz w:val="24"/>
          <w:szCs w:val="24"/>
        </w:rPr>
      </w:pPr>
      <w:bookmarkStart w:id="0" w:name="_Toc32220"/>
      <w:r>
        <w:rPr>
          <w:rFonts w:hint="eastAsia" w:ascii="宋体" w:hAnsi="宋体" w:cs="宋体"/>
          <w:sz w:val="28"/>
          <w:szCs w:val="28"/>
        </w:rPr>
        <w:t xml:space="preserve"> </w:t>
      </w:r>
      <w:r>
        <w:rPr>
          <w:rFonts w:hint="eastAsia" w:ascii="宋体" w:hAnsi="宋体" w:cs="宋体"/>
          <w:sz w:val="24"/>
          <w:szCs w:val="24"/>
        </w:rPr>
        <w:t>竞争性磋商</w:t>
      </w:r>
      <w:bookmarkEnd w:id="0"/>
      <w:r>
        <w:rPr>
          <w:rFonts w:hint="eastAsia" w:ascii="宋体" w:hAnsi="宋体" w:cs="宋体"/>
          <w:sz w:val="24"/>
          <w:szCs w:val="24"/>
        </w:rPr>
        <w:t>公告</w:t>
      </w:r>
    </w:p>
    <w:p/>
    <w:p>
      <w:pPr>
        <w:pBdr>
          <w:top w:val="single" w:color="auto" w:sz="4" w:space="1"/>
          <w:left w:val="single" w:color="auto" w:sz="4" w:space="4"/>
          <w:bottom w:val="single" w:color="auto" w:sz="4" w:space="1"/>
          <w:right w:val="single" w:color="auto" w:sz="4" w:space="4"/>
        </w:pBdr>
        <w:spacing w:line="480" w:lineRule="auto"/>
        <w:rPr>
          <w:rFonts w:ascii="宋体" w:hAnsi="宋体" w:cs="宋体"/>
          <w:szCs w:val="21"/>
        </w:rPr>
      </w:pPr>
      <w:bookmarkStart w:id="1" w:name="_Toc61149549"/>
      <w:bookmarkStart w:id="2" w:name="_Toc513029209"/>
      <w:bookmarkStart w:id="3" w:name="_Toc14577347"/>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480" w:lineRule="auto"/>
        <w:ind w:firstLine="480" w:firstLineChars="200"/>
        <w:rPr>
          <w:rFonts w:ascii="宋体" w:hAnsi="宋体" w:cs="宋体"/>
          <w:bCs/>
          <w:szCs w:val="21"/>
        </w:rPr>
      </w:pPr>
      <w:r>
        <w:rPr>
          <w:rFonts w:hint="eastAsia" w:ascii="宋体" w:hAnsi="宋体" w:cs="宋体"/>
          <w:bCs/>
          <w:spacing w:val="15"/>
          <w:kern w:val="0"/>
          <w:szCs w:val="21"/>
          <w:u w:val="single"/>
        </w:rPr>
        <w:t>泰州市农业农村局渔政无人机巡检采购</w:t>
      </w:r>
      <w:r>
        <w:rPr>
          <w:rFonts w:hint="eastAsia" w:ascii="宋体" w:hAnsi="宋体" w:cs="宋体"/>
          <w:bCs/>
          <w:szCs w:val="21"/>
        </w:rPr>
        <w:t>的潜在供应商应在</w:t>
      </w:r>
      <w:r>
        <w:rPr>
          <w:rFonts w:hint="eastAsia" w:ascii="宋体" w:hAnsi="宋体" w:cs="宋体"/>
          <w:bCs/>
          <w:szCs w:val="21"/>
          <w:u w:val="single"/>
        </w:rPr>
        <w:t>2023年</w:t>
      </w:r>
      <w:r>
        <w:rPr>
          <w:rFonts w:ascii="宋体" w:hAnsi="宋体" w:cs="宋体"/>
          <w:bCs/>
          <w:szCs w:val="21"/>
          <w:u w:val="single"/>
        </w:rPr>
        <w:t>1</w:t>
      </w:r>
      <w:r>
        <w:rPr>
          <w:rFonts w:hint="eastAsia" w:ascii="宋体" w:hAnsi="宋体" w:cs="宋体"/>
          <w:bCs/>
          <w:szCs w:val="21"/>
          <w:u w:val="single"/>
        </w:rPr>
        <w:t>1月1</w:t>
      </w:r>
      <w:r>
        <w:rPr>
          <w:rFonts w:hint="eastAsia" w:ascii="宋体" w:hAnsi="宋体" w:cs="宋体"/>
          <w:bCs/>
          <w:szCs w:val="21"/>
          <w:u w:val="single"/>
          <w:lang w:val="en-US" w:eastAsia="zh-CN"/>
        </w:rPr>
        <w:t>4</w:t>
      </w:r>
      <w:r>
        <w:rPr>
          <w:rFonts w:hint="eastAsia" w:ascii="宋体" w:hAnsi="宋体" w:cs="宋体"/>
          <w:bCs/>
          <w:szCs w:val="21"/>
          <w:u w:val="single"/>
        </w:rPr>
        <w:t>日至1</w:t>
      </w:r>
      <w:r>
        <w:rPr>
          <w:rFonts w:ascii="宋体" w:hAnsi="宋体" w:cs="宋体"/>
          <w:bCs/>
          <w:szCs w:val="21"/>
          <w:u w:val="single"/>
        </w:rPr>
        <w:t>1</w:t>
      </w:r>
      <w:r>
        <w:rPr>
          <w:rFonts w:hint="eastAsia" w:ascii="宋体" w:hAnsi="宋体" w:cs="宋体"/>
          <w:bCs/>
          <w:szCs w:val="21"/>
          <w:u w:val="single"/>
        </w:rPr>
        <w:t>月</w:t>
      </w:r>
      <w:r>
        <w:rPr>
          <w:rFonts w:hint="eastAsia" w:ascii="宋体" w:hAnsi="宋体" w:cs="宋体"/>
          <w:bCs/>
          <w:szCs w:val="21"/>
          <w:u w:val="single"/>
          <w:lang w:val="en-US" w:eastAsia="zh-CN"/>
        </w:rPr>
        <w:t>20</w:t>
      </w:r>
      <w:r>
        <w:rPr>
          <w:rFonts w:hint="eastAsia" w:ascii="宋体" w:hAnsi="宋体" w:cs="宋体"/>
          <w:bCs/>
          <w:szCs w:val="21"/>
          <w:u w:val="single"/>
        </w:rPr>
        <w:t>日每日上午9点至1</w:t>
      </w:r>
      <w:r>
        <w:rPr>
          <w:rFonts w:ascii="宋体" w:hAnsi="宋体" w:cs="宋体"/>
          <w:bCs/>
          <w:szCs w:val="21"/>
          <w:u w:val="single"/>
        </w:rPr>
        <w:t>1</w:t>
      </w:r>
      <w:r>
        <w:rPr>
          <w:rFonts w:hint="eastAsia" w:ascii="宋体" w:hAnsi="宋体" w:cs="宋体"/>
          <w:bCs/>
          <w:szCs w:val="21"/>
          <w:u w:val="single"/>
        </w:rPr>
        <w:t>点3</w:t>
      </w:r>
      <w:r>
        <w:rPr>
          <w:rFonts w:ascii="宋体" w:hAnsi="宋体" w:cs="宋体"/>
          <w:bCs/>
          <w:szCs w:val="21"/>
          <w:u w:val="single"/>
        </w:rPr>
        <w:t>0</w:t>
      </w:r>
      <w:r>
        <w:rPr>
          <w:rFonts w:hint="eastAsia" w:ascii="宋体" w:hAnsi="宋体" w:cs="宋体"/>
          <w:bCs/>
          <w:szCs w:val="21"/>
          <w:u w:val="single"/>
        </w:rPr>
        <w:t>分，下午2点至5点3</w:t>
      </w:r>
      <w:r>
        <w:rPr>
          <w:rFonts w:ascii="宋体" w:hAnsi="宋体" w:cs="宋体"/>
          <w:bCs/>
          <w:szCs w:val="21"/>
          <w:u w:val="single"/>
        </w:rPr>
        <w:t>0</w:t>
      </w:r>
      <w:r>
        <w:rPr>
          <w:rFonts w:hint="eastAsia" w:ascii="宋体" w:hAnsi="宋体" w:cs="宋体"/>
          <w:bCs/>
          <w:szCs w:val="21"/>
          <w:u w:val="single"/>
        </w:rPr>
        <w:t>分</w:t>
      </w:r>
      <w:r>
        <w:rPr>
          <w:rFonts w:hint="eastAsia" w:ascii="宋体" w:hAnsi="宋体" w:cs="宋体"/>
          <w:bCs/>
          <w:szCs w:val="21"/>
        </w:rPr>
        <w:t>（北京时间，节假日除外）获取采购文件，并于2023年</w:t>
      </w:r>
      <w:r>
        <w:rPr>
          <w:rFonts w:ascii="宋体" w:hAnsi="宋体" w:cs="宋体"/>
          <w:bCs/>
          <w:szCs w:val="21"/>
          <w:u w:val="single"/>
        </w:rPr>
        <w:t>11</w:t>
      </w:r>
      <w:r>
        <w:rPr>
          <w:rFonts w:hint="eastAsia" w:ascii="宋体" w:hAnsi="宋体" w:cs="宋体"/>
          <w:bCs/>
          <w:szCs w:val="21"/>
          <w:u w:val="single"/>
        </w:rPr>
        <w:t>月2</w:t>
      </w:r>
      <w:r>
        <w:rPr>
          <w:rFonts w:hint="eastAsia" w:ascii="宋体" w:hAnsi="宋体" w:cs="宋体"/>
          <w:bCs/>
          <w:szCs w:val="21"/>
          <w:u w:val="single"/>
          <w:lang w:val="en-US" w:eastAsia="zh-CN"/>
        </w:rPr>
        <w:t>4</w:t>
      </w:r>
      <w:r>
        <w:rPr>
          <w:rFonts w:hint="eastAsia" w:ascii="宋体" w:hAnsi="宋体" w:cs="宋体"/>
          <w:bCs/>
          <w:szCs w:val="21"/>
          <w:u w:val="single"/>
        </w:rPr>
        <w:t>日上午9点3</w:t>
      </w:r>
      <w:r>
        <w:rPr>
          <w:rFonts w:ascii="宋体" w:hAnsi="宋体" w:cs="宋体"/>
          <w:bCs/>
          <w:szCs w:val="21"/>
          <w:u w:val="single"/>
        </w:rPr>
        <w:t>0</w:t>
      </w:r>
      <w:r>
        <w:rPr>
          <w:rFonts w:hint="eastAsia" w:ascii="宋体" w:hAnsi="宋体" w:cs="宋体"/>
          <w:bCs/>
          <w:szCs w:val="21"/>
          <w:u w:val="single"/>
        </w:rPr>
        <w:t>分</w:t>
      </w:r>
      <w:r>
        <w:rPr>
          <w:rFonts w:hint="eastAsia" w:ascii="宋体" w:hAnsi="宋体" w:cs="宋体"/>
          <w:bCs/>
          <w:szCs w:val="21"/>
        </w:rPr>
        <w:t>（北京时间）前提交响应文件。</w:t>
      </w:r>
    </w:p>
    <w:p>
      <w:pPr>
        <w:pStyle w:val="3"/>
        <w:keepNext w:val="0"/>
        <w:keepLines w:val="0"/>
        <w:spacing w:before="0" w:after="0" w:line="480" w:lineRule="auto"/>
        <w:ind w:firstLine="422" w:firstLineChars="200"/>
        <w:jc w:val="both"/>
        <w:rPr>
          <w:rFonts w:ascii="宋体" w:hAnsi="宋体" w:eastAsia="宋体" w:cs="宋体"/>
          <w:sz w:val="21"/>
          <w:szCs w:val="21"/>
        </w:rPr>
      </w:pPr>
      <w:bookmarkStart w:id="4" w:name="_Toc28359089"/>
      <w:bookmarkStart w:id="5" w:name="_Toc35393798"/>
      <w:bookmarkStart w:id="6" w:name="_Toc28359012"/>
      <w:bookmarkStart w:id="7" w:name="_Toc35393629"/>
      <w:r>
        <w:rPr>
          <w:rFonts w:hint="eastAsia" w:ascii="宋体" w:hAnsi="宋体" w:eastAsia="宋体" w:cs="宋体"/>
          <w:sz w:val="21"/>
          <w:szCs w:val="21"/>
        </w:rPr>
        <w:t>一、项目基本情况</w:t>
      </w:r>
      <w:bookmarkEnd w:id="4"/>
      <w:bookmarkEnd w:id="5"/>
      <w:bookmarkEnd w:id="6"/>
      <w:bookmarkEnd w:id="7"/>
    </w:p>
    <w:p>
      <w:pPr>
        <w:spacing w:line="480" w:lineRule="auto"/>
        <w:ind w:firstLine="422" w:firstLineChars="200"/>
        <w:rPr>
          <w:rFonts w:ascii="宋体" w:hAnsi="宋体" w:cs="宋体"/>
          <w:szCs w:val="21"/>
        </w:rPr>
      </w:pPr>
      <w:r>
        <w:rPr>
          <w:rFonts w:hint="eastAsia" w:ascii="宋体" w:hAnsi="宋体" w:cs="宋体"/>
          <w:b/>
          <w:bCs/>
          <w:szCs w:val="21"/>
        </w:rPr>
        <w:t>项目编号：JSXJY2023-048</w:t>
      </w:r>
    </w:p>
    <w:p>
      <w:pPr>
        <w:spacing w:line="480" w:lineRule="auto"/>
        <w:ind w:firstLine="422" w:firstLineChars="200"/>
        <w:rPr>
          <w:rFonts w:ascii="宋体" w:hAnsi="宋体" w:cs="宋体"/>
          <w:szCs w:val="21"/>
        </w:rPr>
      </w:pPr>
      <w:r>
        <w:rPr>
          <w:rFonts w:hint="eastAsia" w:ascii="宋体" w:hAnsi="宋体" w:cs="宋体"/>
          <w:b/>
          <w:bCs/>
          <w:szCs w:val="21"/>
        </w:rPr>
        <w:t>项目名称：</w:t>
      </w:r>
      <w:r>
        <w:rPr>
          <w:rFonts w:hint="eastAsia" w:ascii="宋体" w:hAnsi="宋体" w:cs="宋体"/>
          <w:szCs w:val="21"/>
        </w:rPr>
        <w:t>泰州市农业农村局渔政无人机巡检采购</w:t>
      </w:r>
    </w:p>
    <w:p>
      <w:pPr>
        <w:spacing w:line="480" w:lineRule="auto"/>
        <w:ind w:firstLine="422" w:firstLineChars="200"/>
        <w:rPr>
          <w:rFonts w:ascii="宋体" w:hAnsi="宋体" w:cs="宋体"/>
          <w:szCs w:val="21"/>
        </w:rPr>
      </w:pPr>
      <w:r>
        <w:rPr>
          <w:rFonts w:hint="eastAsia" w:ascii="宋体" w:hAnsi="宋体" w:cs="宋体"/>
          <w:b/>
          <w:bCs/>
          <w:szCs w:val="21"/>
        </w:rPr>
        <w:t>预算:</w:t>
      </w:r>
      <w:r>
        <w:rPr>
          <w:rFonts w:hint="eastAsia" w:ascii="宋体" w:hAnsi="宋体" w:cs="宋体"/>
          <w:szCs w:val="21"/>
        </w:rPr>
        <w:t>人民币</w:t>
      </w:r>
      <w:r>
        <w:rPr>
          <w:rFonts w:hint="eastAsia" w:ascii="宋体" w:hAnsi="宋体" w:cs="宋体"/>
          <w:szCs w:val="21"/>
          <w:lang w:val="en-US" w:eastAsia="zh-CN"/>
        </w:rPr>
        <w:t>30</w:t>
      </w:r>
      <w:r>
        <w:rPr>
          <w:rFonts w:hint="eastAsia" w:ascii="宋体" w:hAnsi="宋体" w:cs="宋体"/>
          <w:szCs w:val="21"/>
        </w:rPr>
        <w:t>万元</w:t>
      </w:r>
    </w:p>
    <w:p>
      <w:pPr>
        <w:spacing w:line="480" w:lineRule="auto"/>
        <w:ind w:firstLine="422" w:firstLineChars="200"/>
        <w:rPr>
          <w:rFonts w:ascii="宋体" w:hAnsi="宋体" w:cs="宋体"/>
          <w:szCs w:val="21"/>
        </w:rPr>
      </w:pPr>
      <w:r>
        <w:rPr>
          <w:rFonts w:hint="eastAsia" w:ascii="宋体" w:hAnsi="宋体" w:cs="宋体"/>
          <w:b/>
          <w:bCs/>
          <w:szCs w:val="21"/>
        </w:rPr>
        <w:t>最高价:</w:t>
      </w:r>
      <w:r>
        <w:rPr>
          <w:rFonts w:hint="eastAsia" w:ascii="宋体" w:hAnsi="宋体" w:cs="宋体"/>
          <w:szCs w:val="21"/>
        </w:rPr>
        <w:t>人民币</w:t>
      </w:r>
      <w:r>
        <w:rPr>
          <w:rFonts w:hint="eastAsia" w:ascii="宋体" w:hAnsi="宋体" w:cs="宋体"/>
          <w:szCs w:val="21"/>
          <w:lang w:val="en-US" w:eastAsia="zh-CN"/>
        </w:rPr>
        <w:t>30</w:t>
      </w:r>
      <w:r>
        <w:rPr>
          <w:rFonts w:hint="eastAsia" w:ascii="宋体" w:hAnsi="宋体" w:cs="宋体"/>
          <w:szCs w:val="21"/>
        </w:rPr>
        <w:t>万元</w:t>
      </w:r>
    </w:p>
    <w:p>
      <w:pPr>
        <w:pStyle w:val="61"/>
        <w:spacing w:line="480" w:lineRule="auto"/>
        <w:ind w:firstLine="422" w:firstLineChars="200"/>
        <w:rPr>
          <w:rFonts w:ascii="宋体" w:hAnsi="宋体" w:cs="宋体"/>
          <w:szCs w:val="21"/>
        </w:rPr>
      </w:pPr>
      <w:r>
        <w:rPr>
          <w:rFonts w:hint="eastAsia" w:ascii="宋体" w:hAnsi="宋体" w:cs="宋体"/>
          <w:b/>
          <w:bCs/>
          <w:szCs w:val="21"/>
        </w:rPr>
        <w:t>采购方式：</w:t>
      </w:r>
      <w:r>
        <w:rPr>
          <w:rFonts w:hint="eastAsia" w:ascii="宋体" w:hAnsi="宋体" w:cs="宋体"/>
          <w:szCs w:val="21"/>
        </w:rPr>
        <w:t>竞争性磋商</w:t>
      </w:r>
    </w:p>
    <w:p>
      <w:pPr>
        <w:spacing w:line="480" w:lineRule="auto"/>
        <w:ind w:firstLine="422" w:firstLineChars="200"/>
        <w:rPr>
          <w:rFonts w:ascii="宋体" w:hAnsi="宋体" w:cs="宋体"/>
          <w:szCs w:val="21"/>
        </w:rPr>
      </w:pPr>
      <w:r>
        <w:rPr>
          <w:rFonts w:hint="eastAsia" w:ascii="宋体" w:hAnsi="宋体" w:cs="宋体"/>
          <w:b/>
          <w:bCs/>
          <w:szCs w:val="21"/>
        </w:rPr>
        <w:t>采购需求：</w:t>
      </w:r>
      <w:r>
        <w:rPr>
          <w:rFonts w:hint="eastAsia" w:ascii="宋体" w:hAnsi="宋体" w:cs="宋体"/>
          <w:szCs w:val="21"/>
        </w:rPr>
        <w:t>详见需求章节</w:t>
      </w:r>
    </w:p>
    <w:p>
      <w:pPr>
        <w:widowControl/>
        <w:spacing w:line="480" w:lineRule="auto"/>
        <w:ind w:firstLine="422" w:firstLineChars="200"/>
        <w:jc w:val="left"/>
        <w:rPr>
          <w:rFonts w:ascii="宋体" w:hAnsi="宋体" w:cs="宋体"/>
          <w:szCs w:val="21"/>
        </w:rPr>
      </w:pPr>
      <w:r>
        <w:rPr>
          <w:rFonts w:hint="eastAsia" w:ascii="宋体" w:hAnsi="宋体" w:cs="宋体"/>
          <w:b/>
          <w:bCs/>
          <w:szCs w:val="21"/>
        </w:rPr>
        <w:t>合同履行期限：</w:t>
      </w:r>
      <w:r>
        <w:rPr>
          <w:rFonts w:hint="eastAsia" w:ascii="宋体" w:hAnsi="宋体" w:cs="宋体"/>
          <w:szCs w:val="21"/>
        </w:rPr>
        <w:t>本预算为三年费用，服务期限为三年。</w:t>
      </w:r>
    </w:p>
    <w:p>
      <w:pPr>
        <w:widowControl/>
        <w:spacing w:line="480" w:lineRule="auto"/>
        <w:ind w:firstLine="422" w:firstLineChars="200"/>
        <w:jc w:val="left"/>
        <w:rPr>
          <w:rFonts w:ascii="宋体" w:hAnsi="宋体" w:cs="宋体"/>
          <w:b/>
          <w:bCs/>
          <w:szCs w:val="21"/>
        </w:rPr>
      </w:pPr>
      <w:r>
        <w:rPr>
          <w:rFonts w:hint="eastAsia" w:ascii="宋体" w:hAnsi="宋体" w:cs="宋体"/>
          <w:b/>
          <w:bCs/>
          <w:szCs w:val="21"/>
        </w:rPr>
        <w:t>付款方式：</w:t>
      </w:r>
      <w:r>
        <w:rPr>
          <w:rFonts w:hint="eastAsia" w:ascii="宋体" w:hAnsi="宋体" w:cs="宋体"/>
          <w:szCs w:val="21"/>
        </w:rPr>
        <w:t>人民币结算，合同签订后1</w:t>
      </w:r>
      <w:r>
        <w:rPr>
          <w:rFonts w:ascii="宋体" w:hAnsi="宋体" w:cs="宋体"/>
          <w:szCs w:val="21"/>
        </w:rPr>
        <w:t>5</w:t>
      </w:r>
      <w:r>
        <w:rPr>
          <w:rFonts w:hint="eastAsia" w:ascii="宋体" w:hAnsi="宋体" w:cs="宋体"/>
          <w:szCs w:val="21"/>
        </w:rPr>
        <w:t>个工作日内一次性付清。</w:t>
      </w:r>
    </w:p>
    <w:p>
      <w:pPr>
        <w:spacing w:line="480" w:lineRule="auto"/>
        <w:ind w:firstLine="422" w:firstLineChars="200"/>
        <w:rPr>
          <w:rFonts w:ascii="宋体" w:hAnsi="宋体" w:cs="宋体"/>
          <w:szCs w:val="21"/>
        </w:rPr>
      </w:pPr>
      <w:r>
        <w:rPr>
          <w:rFonts w:hint="eastAsia" w:ascii="宋体" w:hAnsi="宋体" w:cs="宋体"/>
          <w:b/>
          <w:bCs/>
          <w:szCs w:val="21"/>
        </w:rPr>
        <w:t>备注：</w:t>
      </w:r>
      <w:r>
        <w:rPr>
          <w:rFonts w:hint="eastAsia" w:ascii="宋体" w:hAnsi="宋体" w:cs="宋体"/>
          <w:szCs w:val="21"/>
        </w:rPr>
        <w:t>本项目不接受联合体投标</w:t>
      </w:r>
    </w:p>
    <w:p>
      <w:pPr>
        <w:pStyle w:val="3"/>
        <w:keepNext w:val="0"/>
        <w:keepLines w:val="0"/>
        <w:spacing w:before="0" w:after="0" w:line="480" w:lineRule="auto"/>
        <w:ind w:firstLine="422" w:firstLineChars="200"/>
        <w:jc w:val="both"/>
        <w:rPr>
          <w:rFonts w:ascii="宋体" w:hAnsi="宋体" w:eastAsia="宋体" w:cs="宋体"/>
          <w:sz w:val="21"/>
          <w:szCs w:val="21"/>
        </w:rPr>
      </w:pPr>
      <w:bookmarkStart w:id="8" w:name="_Toc28359013"/>
      <w:bookmarkStart w:id="9" w:name="_Toc35393630"/>
      <w:bookmarkStart w:id="10" w:name="_Toc28359090"/>
      <w:bookmarkStart w:id="11" w:name="_Toc35393799"/>
      <w:r>
        <w:rPr>
          <w:rFonts w:hint="eastAsia" w:ascii="宋体" w:hAnsi="宋体" w:eastAsia="宋体" w:cs="宋体"/>
          <w:sz w:val="21"/>
          <w:szCs w:val="21"/>
        </w:rPr>
        <w:t>二、申请人的资格要求：</w:t>
      </w:r>
      <w:bookmarkEnd w:id="8"/>
      <w:bookmarkEnd w:id="9"/>
      <w:bookmarkEnd w:id="10"/>
      <w:bookmarkEnd w:id="11"/>
    </w:p>
    <w:p>
      <w:pPr>
        <w:spacing w:line="480" w:lineRule="auto"/>
        <w:ind w:firstLine="420" w:firstLineChars="200"/>
        <w:rPr>
          <w:rFonts w:ascii="宋体" w:hAnsi="宋体" w:cs="宋体"/>
          <w:szCs w:val="21"/>
        </w:rPr>
      </w:pPr>
      <w:bookmarkStart w:id="12" w:name="_Toc35393631"/>
      <w:bookmarkStart w:id="13" w:name="_Toc28359014"/>
      <w:bookmarkStart w:id="14" w:name="_Toc28359091"/>
      <w:bookmarkStart w:id="15" w:name="_Toc35393800"/>
      <w:r>
        <w:rPr>
          <w:rFonts w:hint="eastAsia" w:ascii="宋体" w:hAnsi="宋体" w:cs="宋体"/>
          <w:szCs w:val="21"/>
        </w:rPr>
        <w:t>（一）满足《中华人民共和国政府采购法》第二十二条规定并提供以下证明材料：</w:t>
      </w:r>
    </w:p>
    <w:p>
      <w:pPr>
        <w:adjustRightInd w:val="0"/>
        <w:snapToGrid w:val="0"/>
        <w:spacing w:line="480" w:lineRule="auto"/>
        <w:ind w:firstLine="420" w:firstLineChars="200"/>
        <w:rPr>
          <w:rFonts w:ascii="宋体" w:hAnsi="宋体" w:cs="宋体"/>
          <w:szCs w:val="21"/>
          <w:lang w:val="zh-CN"/>
        </w:rPr>
      </w:pPr>
      <w:r>
        <w:rPr>
          <w:rFonts w:hint="eastAsia" w:ascii="宋体" w:hAnsi="宋体" w:cs="宋体"/>
          <w:szCs w:val="21"/>
        </w:rPr>
        <w:t>1、法人或者其他组织的营业执照等证明文件</w:t>
      </w:r>
      <w:r>
        <w:rPr>
          <w:rFonts w:hint="eastAsia" w:ascii="宋体" w:hAnsi="宋体" w:cs="宋体"/>
          <w:szCs w:val="21"/>
          <w:lang w:val="zh-CN"/>
        </w:rPr>
        <w:t>。</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2、2022年度的财务状况报告（提供第三方审计报告或财务报表，成立不满一年不需提供）。</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3、依法缴纳税收和社会保障资金的相关材料。</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4、具备履行合同所必需的设备和专业技术能力的证明材料。</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5、参加政府采购活动前3年内在经营活动中没有重大违法记录的书面声明。</w:t>
      </w:r>
    </w:p>
    <w:p>
      <w:pPr>
        <w:numPr>
          <w:ilvl w:val="0"/>
          <w:numId w:val="5"/>
        </w:numPr>
        <w:spacing w:line="480" w:lineRule="auto"/>
        <w:ind w:firstLine="420" w:firstLineChars="200"/>
        <w:rPr>
          <w:rFonts w:ascii="宋体" w:hAnsi="宋体" w:cs="宋体"/>
          <w:szCs w:val="21"/>
        </w:rPr>
      </w:pPr>
      <w:r>
        <w:rPr>
          <w:rFonts w:hint="eastAsia" w:ascii="宋体" w:hAnsi="宋体" w:cs="宋体"/>
          <w:szCs w:val="21"/>
        </w:rPr>
        <w:t>本项目的特定资格要求：无</w:t>
      </w:r>
    </w:p>
    <w:p>
      <w:pPr>
        <w:numPr>
          <w:ilvl w:val="0"/>
          <w:numId w:val="5"/>
        </w:numPr>
        <w:spacing w:line="480" w:lineRule="auto"/>
        <w:ind w:firstLine="420" w:firstLineChars="200"/>
        <w:rPr>
          <w:rFonts w:ascii="宋体" w:hAnsi="宋体" w:cs="宋体"/>
          <w:szCs w:val="21"/>
        </w:rPr>
      </w:pPr>
      <w:r>
        <w:rPr>
          <w:rFonts w:hint="eastAsia" w:ascii="宋体" w:hAnsi="宋体" w:cs="宋体"/>
          <w:szCs w:val="21"/>
        </w:rPr>
        <w:t>未被“信用中国”网站（www.creditchina.gov.cn）列入失信被执行人、重大税收违法案件当事人名单、政府采购严重失信行为记录名单。</w:t>
      </w:r>
    </w:p>
    <w:p>
      <w:pPr>
        <w:spacing w:line="480" w:lineRule="auto"/>
        <w:ind w:firstLine="422" w:firstLineChars="200"/>
        <w:rPr>
          <w:rFonts w:ascii="宋体" w:hAnsi="宋体" w:cs="宋体"/>
          <w:b/>
          <w:szCs w:val="21"/>
        </w:rPr>
      </w:pPr>
      <w:r>
        <w:rPr>
          <w:rFonts w:hint="eastAsia" w:ascii="宋体" w:hAnsi="宋体" w:cs="宋体"/>
          <w:b/>
          <w:szCs w:val="21"/>
        </w:rPr>
        <w:t>注：1、凡为本采购项目提供整体设计、规范编制或者项目管理、监理、检测等服务的供应商，不得再参加本采购项目的其他采购活动；</w:t>
      </w:r>
    </w:p>
    <w:p>
      <w:pPr>
        <w:spacing w:line="480" w:lineRule="auto"/>
        <w:ind w:firstLine="422" w:firstLineChars="200"/>
        <w:rPr>
          <w:rFonts w:ascii="宋体" w:hAnsi="宋体" w:cs="宋体"/>
          <w:szCs w:val="21"/>
        </w:rPr>
      </w:pPr>
      <w:r>
        <w:rPr>
          <w:rFonts w:hint="eastAsia" w:ascii="宋体" w:hAnsi="宋体" w:cs="宋体"/>
          <w:b/>
          <w:szCs w:val="21"/>
        </w:rPr>
        <w:t>2、单位法定代表人/负责人为同一人或者存在直接控股、管理关系的不同供应商，不得参加同一合同项下的政府采购活动。</w:t>
      </w:r>
    </w:p>
    <w:p>
      <w:pPr>
        <w:pStyle w:val="3"/>
        <w:keepNext w:val="0"/>
        <w:keepLines w:val="0"/>
        <w:spacing w:before="0" w:after="0" w:line="480" w:lineRule="auto"/>
        <w:ind w:firstLine="422" w:firstLineChars="200"/>
        <w:jc w:val="both"/>
        <w:rPr>
          <w:rFonts w:ascii="宋体" w:hAnsi="宋体" w:eastAsia="宋体" w:cs="宋体"/>
          <w:sz w:val="21"/>
          <w:szCs w:val="21"/>
        </w:rPr>
      </w:pPr>
      <w:r>
        <w:rPr>
          <w:rFonts w:hint="eastAsia" w:ascii="宋体" w:hAnsi="宋体" w:eastAsia="宋体" w:cs="宋体"/>
          <w:sz w:val="21"/>
          <w:szCs w:val="21"/>
        </w:rPr>
        <w:t>三、获取采购文件</w:t>
      </w:r>
      <w:bookmarkEnd w:id="12"/>
      <w:bookmarkEnd w:id="13"/>
      <w:bookmarkEnd w:id="14"/>
      <w:bookmarkEnd w:id="15"/>
    </w:p>
    <w:p>
      <w:pPr>
        <w:spacing w:line="480" w:lineRule="auto"/>
        <w:ind w:firstLine="420" w:firstLineChars="200"/>
        <w:rPr>
          <w:rFonts w:ascii="宋体" w:hAnsi="宋体" w:cs="宋体"/>
          <w:szCs w:val="21"/>
        </w:rPr>
      </w:pPr>
      <w:bookmarkStart w:id="16" w:name="_Toc28359015"/>
      <w:bookmarkStart w:id="17" w:name="_Toc35393801"/>
      <w:bookmarkStart w:id="18" w:name="_Toc35393632"/>
      <w:bookmarkStart w:id="19" w:name="_Toc28359092"/>
      <w:r>
        <w:rPr>
          <w:rFonts w:hint="eastAsia" w:ascii="宋体" w:hAnsi="宋体" w:cs="宋体"/>
          <w:szCs w:val="21"/>
        </w:rPr>
        <w:t>时间：</w:t>
      </w:r>
      <w:r>
        <w:rPr>
          <w:rFonts w:hint="eastAsia" w:ascii="宋体" w:hAnsi="宋体" w:cs="宋体"/>
          <w:bCs/>
          <w:szCs w:val="21"/>
          <w:u w:val="single"/>
        </w:rPr>
        <w:t>2023年</w:t>
      </w:r>
      <w:r>
        <w:rPr>
          <w:rFonts w:ascii="宋体" w:hAnsi="宋体" w:cs="宋体"/>
          <w:bCs/>
          <w:szCs w:val="21"/>
          <w:u w:val="single"/>
        </w:rPr>
        <w:t>1</w:t>
      </w:r>
      <w:r>
        <w:rPr>
          <w:rFonts w:hint="eastAsia" w:ascii="宋体" w:hAnsi="宋体" w:cs="宋体"/>
          <w:bCs/>
          <w:szCs w:val="21"/>
          <w:u w:val="single"/>
        </w:rPr>
        <w:t>1月1</w:t>
      </w:r>
      <w:r>
        <w:rPr>
          <w:rFonts w:hint="eastAsia" w:ascii="宋体" w:hAnsi="宋体" w:cs="宋体"/>
          <w:bCs/>
          <w:szCs w:val="21"/>
          <w:u w:val="single"/>
          <w:lang w:val="en-US" w:eastAsia="zh-CN"/>
        </w:rPr>
        <w:t>4</w:t>
      </w:r>
      <w:r>
        <w:rPr>
          <w:rFonts w:hint="eastAsia" w:ascii="宋体" w:hAnsi="宋体" w:cs="宋体"/>
          <w:bCs/>
          <w:szCs w:val="21"/>
          <w:u w:val="single"/>
        </w:rPr>
        <w:t>日至1</w:t>
      </w:r>
      <w:r>
        <w:rPr>
          <w:rFonts w:ascii="宋体" w:hAnsi="宋体" w:cs="宋体"/>
          <w:bCs/>
          <w:szCs w:val="21"/>
          <w:u w:val="single"/>
        </w:rPr>
        <w:t>1</w:t>
      </w:r>
      <w:r>
        <w:rPr>
          <w:rFonts w:hint="eastAsia" w:ascii="宋体" w:hAnsi="宋体" w:cs="宋体"/>
          <w:bCs/>
          <w:szCs w:val="21"/>
          <w:u w:val="single"/>
        </w:rPr>
        <w:t>月</w:t>
      </w:r>
      <w:r>
        <w:rPr>
          <w:rFonts w:hint="eastAsia" w:ascii="宋体" w:hAnsi="宋体" w:cs="宋体"/>
          <w:bCs/>
          <w:szCs w:val="21"/>
          <w:u w:val="single"/>
          <w:lang w:val="en-US" w:eastAsia="zh-CN"/>
        </w:rPr>
        <w:t>20</w:t>
      </w:r>
      <w:r>
        <w:rPr>
          <w:rFonts w:hint="eastAsia" w:ascii="宋体" w:hAnsi="宋体" w:cs="宋体"/>
          <w:bCs/>
          <w:szCs w:val="21"/>
          <w:u w:val="single"/>
        </w:rPr>
        <w:t>日每日上午9点至1</w:t>
      </w:r>
      <w:r>
        <w:rPr>
          <w:rFonts w:ascii="宋体" w:hAnsi="宋体" w:cs="宋体"/>
          <w:bCs/>
          <w:szCs w:val="21"/>
          <w:u w:val="single"/>
        </w:rPr>
        <w:t>1</w:t>
      </w:r>
      <w:r>
        <w:rPr>
          <w:rFonts w:hint="eastAsia" w:ascii="宋体" w:hAnsi="宋体" w:cs="宋体"/>
          <w:bCs/>
          <w:szCs w:val="21"/>
          <w:u w:val="single"/>
        </w:rPr>
        <w:t>点3</w:t>
      </w:r>
      <w:r>
        <w:rPr>
          <w:rFonts w:ascii="宋体" w:hAnsi="宋体" w:cs="宋体"/>
          <w:bCs/>
          <w:szCs w:val="21"/>
          <w:u w:val="single"/>
        </w:rPr>
        <w:t>0</w:t>
      </w:r>
      <w:r>
        <w:rPr>
          <w:rFonts w:hint="eastAsia" w:ascii="宋体" w:hAnsi="宋体" w:cs="宋体"/>
          <w:bCs/>
          <w:szCs w:val="21"/>
          <w:u w:val="single"/>
        </w:rPr>
        <w:t>分，下午2点至5点3</w:t>
      </w:r>
      <w:r>
        <w:rPr>
          <w:rFonts w:ascii="宋体" w:hAnsi="宋体" w:cs="宋体"/>
          <w:bCs/>
          <w:szCs w:val="21"/>
          <w:u w:val="single"/>
        </w:rPr>
        <w:t>0</w:t>
      </w:r>
      <w:r>
        <w:rPr>
          <w:rFonts w:hint="eastAsia" w:ascii="宋体" w:hAnsi="宋体" w:cs="宋体"/>
          <w:bCs/>
          <w:szCs w:val="21"/>
          <w:u w:val="single"/>
        </w:rPr>
        <w:t>分</w:t>
      </w:r>
      <w:r>
        <w:rPr>
          <w:rFonts w:hint="eastAsia" w:ascii="宋体" w:hAnsi="宋体" w:cs="宋体"/>
          <w:bCs/>
          <w:szCs w:val="21"/>
        </w:rPr>
        <w:t>（北京时间，节假日除外）</w:t>
      </w:r>
    </w:p>
    <w:p>
      <w:pPr>
        <w:spacing w:line="480" w:lineRule="auto"/>
        <w:ind w:firstLine="420" w:firstLineChars="200"/>
        <w:rPr>
          <w:rFonts w:ascii="宋体" w:hAnsi="宋体" w:cs="宋体"/>
          <w:szCs w:val="21"/>
        </w:rPr>
      </w:pPr>
      <w:r>
        <w:rPr>
          <w:rFonts w:hint="eastAsia" w:ascii="宋体" w:hAnsi="宋体" w:cs="宋体"/>
          <w:szCs w:val="21"/>
        </w:rPr>
        <w:t>地点：泰州市春风路1</w:t>
      </w:r>
      <w:r>
        <w:rPr>
          <w:rFonts w:ascii="宋体" w:hAnsi="宋体" w:cs="宋体"/>
          <w:szCs w:val="21"/>
        </w:rPr>
        <w:t>0</w:t>
      </w:r>
      <w:r>
        <w:rPr>
          <w:rFonts w:hint="eastAsia" w:ascii="宋体" w:hAnsi="宋体" w:cs="宋体"/>
          <w:szCs w:val="21"/>
        </w:rPr>
        <w:t>号酩悦公馆7</w:t>
      </w:r>
      <w:r>
        <w:rPr>
          <w:rFonts w:ascii="宋体" w:hAnsi="宋体" w:cs="宋体"/>
          <w:szCs w:val="21"/>
        </w:rPr>
        <w:t>10</w:t>
      </w:r>
      <w:r>
        <w:rPr>
          <w:rFonts w:hint="eastAsia" w:ascii="宋体" w:hAnsi="宋体" w:cs="宋体"/>
          <w:szCs w:val="21"/>
        </w:rPr>
        <w:t>室</w:t>
      </w:r>
    </w:p>
    <w:p>
      <w:pPr>
        <w:spacing w:line="480" w:lineRule="auto"/>
        <w:ind w:firstLine="420" w:firstLineChars="200"/>
        <w:rPr>
          <w:rFonts w:ascii="宋体" w:hAnsi="宋体" w:cs="宋体"/>
          <w:szCs w:val="21"/>
        </w:rPr>
      </w:pPr>
      <w:r>
        <w:rPr>
          <w:rFonts w:hint="eastAsia" w:ascii="宋体" w:hAnsi="宋体" w:cs="宋体"/>
          <w:szCs w:val="21"/>
        </w:rPr>
        <w:t>方式：1、现场领取；2、邮箱领取（提供转账截图）,邮箱地址：4</w:t>
      </w:r>
      <w:r>
        <w:rPr>
          <w:rFonts w:ascii="宋体" w:hAnsi="宋体" w:cs="宋体"/>
          <w:szCs w:val="21"/>
        </w:rPr>
        <w:t>93722591@</w:t>
      </w:r>
      <w:r>
        <w:rPr>
          <w:rFonts w:hint="eastAsia" w:ascii="宋体" w:hAnsi="宋体" w:cs="宋体"/>
          <w:szCs w:val="21"/>
        </w:rPr>
        <w:t>qq.com</w:t>
      </w:r>
    </w:p>
    <w:p>
      <w:pPr>
        <w:spacing w:line="480" w:lineRule="auto"/>
        <w:ind w:firstLine="420" w:firstLineChars="200"/>
        <w:rPr>
          <w:rFonts w:ascii="宋体" w:hAnsi="宋体" w:cs="宋体"/>
          <w:szCs w:val="21"/>
        </w:rPr>
      </w:pPr>
      <w:r>
        <w:rPr>
          <w:rFonts w:hint="eastAsia" w:ascii="宋体" w:hAnsi="宋体" w:cs="宋体"/>
          <w:szCs w:val="21"/>
        </w:rPr>
        <w:t>售价：3</w:t>
      </w:r>
      <w:r>
        <w:rPr>
          <w:rFonts w:ascii="宋体" w:hAnsi="宋体" w:cs="宋体"/>
          <w:szCs w:val="21"/>
        </w:rPr>
        <w:t>00</w:t>
      </w:r>
      <w:r>
        <w:rPr>
          <w:rFonts w:hint="eastAsia" w:ascii="宋体" w:hAnsi="宋体" w:cs="宋体"/>
          <w:szCs w:val="21"/>
        </w:rPr>
        <w:t>元/份，售后不退（标书费收款账户：微信号</w:t>
      </w:r>
      <w:r>
        <w:rPr>
          <w:rFonts w:ascii="宋体" w:hAnsi="宋体" w:cs="宋体"/>
          <w:szCs w:val="21"/>
        </w:rPr>
        <w:t>493722591</w:t>
      </w:r>
      <w:r>
        <w:rPr>
          <w:rFonts w:hint="eastAsia" w:ascii="宋体" w:hAnsi="宋体" w:cs="宋体"/>
          <w:szCs w:val="21"/>
        </w:rPr>
        <w:t>）</w:t>
      </w:r>
    </w:p>
    <w:p>
      <w:pPr>
        <w:pStyle w:val="3"/>
        <w:keepNext w:val="0"/>
        <w:keepLines w:val="0"/>
        <w:spacing w:before="0" w:after="0" w:line="480" w:lineRule="auto"/>
        <w:ind w:firstLine="422" w:firstLineChars="200"/>
        <w:jc w:val="both"/>
        <w:rPr>
          <w:rFonts w:ascii="宋体" w:hAnsi="宋体" w:eastAsia="宋体" w:cs="宋体"/>
          <w:sz w:val="21"/>
          <w:szCs w:val="21"/>
        </w:rPr>
      </w:pPr>
      <w:r>
        <w:rPr>
          <w:rFonts w:hint="eastAsia" w:ascii="宋体" w:hAnsi="宋体" w:eastAsia="宋体" w:cs="宋体"/>
          <w:sz w:val="21"/>
          <w:szCs w:val="21"/>
        </w:rPr>
        <w:t>四、响应文件提交</w:t>
      </w:r>
      <w:bookmarkEnd w:id="16"/>
      <w:bookmarkEnd w:id="17"/>
      <w:bookmarkEnd w:id="18"/>
      <w:bookmarkEnd w:id="19"/>
    </w:p>
    <w:p>
      <w:pPr>
        <w:spacing w:line="480" w:lineRule="auto"/>
        <w:ind w:firstLine="420" w:firstLineChars="200"/>
        <w:rPr>
          <w:rFonts w:ascii="宋体" w:hAnsi="宋体" w:cs="宋体"/>
          <w:bCs/>
          <w:szCs w:val="21"/>
        </w:rPr>
      </w:pPr>
      <w:bookmarkStart w:id="20" w:name="_Toc35393633"/>
      <w:bookmarkStart w:id="21" w:name="_Toc28359016"/>
      <w:bookmarkStart w:id="22" w:name="_Toc35393802"/>
      <w:bookmarkStart w:id="23" w:name="_Toc28359093"/>
      <w:r>
        <w:rPr>
          <w:rFonts w:hint="eastAsia" w:ascii="宋体" w:hAnsi="宋体" w:cs="宋体"/>
          <w:bCs/>
          <w:szCs w:val="21"/>
        </w:rPr>
        <w:t>响应文件接收时间:</w:t>
      </w:r>
      <w:r>
        <w:rPr>
          <w:rFonts w:ascii="宋体" w:hAnsi="宋体" w:cs="宋体"/>
          <w:bCs/>
          <w:szCs w:val="21"/>
        </w:rPr>
        <w:t>2023</w:t>
      </w:r>
      <w:r>
        <w:rPr>
          <w:rFonts w:hint="eastAsia" w:ascii="宋体" w:hAnsi="宋体" w:cs="宋体"/>
          <w:bCs/>
          <w:szCs w:val="21"/>
        </w:rPr>
        <w:t>年1</w:t>
      </w:r>
      <w:r>
        <w:rPr>
          <w:rFonts w:ascii="宋体" w:hAnsi="宋体" w:cs="宋体"/>
          <w:bCs/>
          <w:szCs w:val="21"/>
        </w:rPr>
        <w:t>1</w:t>
      </w:r>
      <w:r>
        <w:rPr>
          <w:rFonts w:hint="eastAsia" w:ascii="宋体" w:hAnsi="宋体" w:cs="宋体"/>
          <w:bCs/>
          <w:szCs w:val="21"/>
        </w:rPr>
        <w:t>月2</w:t>
      </w:r>
      <w:r>
        <w:rPr>
          <w:rFonts w:hint="eastAsia" w:ascii="宋体" w:hAnsi="宋体" w:cs="宋体"/>
          <w:bCs/>
          <w:szCs w:val="21"/>
          <w:lang w:val="en-US" w:eastAsia="zh-CN"/>
        </w:rPr>
        <w:t>4</w:t>
      </w:r>
      <w:r>
        <w:rPr>
          <w:rFonts w:hint="eastAsia" w:ascii="宋体" w:hAnsi="宋体" w:cs="宋体"/>
          <w:bCs/>
          <w:szCs w:val="21"/>
        </w:rPr>
        <w:t>日上午9点至9点3</w:t>
      </w:r>
      <w:r>
        <w:rPr>
          <w:rFonts w:ascii="宋体" w:hAnsi="宋体" w:cs="宋体"/>
          <w:bCs/>
          <w:szCs w:val="21"/>
        </w:rPr>
        <w:t>0</w:t>
      </w:r>
      <w:r>
        <w:rPr>
          <w:rFonts w:hint="eastAsia" w:ascii="宋体" w:hAnsi="宋体" w:cs="宋体"/>
          <w:bCs/>
          <w:szCs w:val="21"/>
        </w:rPr>
        <w:t>分</w:t>
      </w:r>
    </w:p>
    <w:p>
      <w:pPr>
        <w:spacing w:line="480" w:lineRule="auto"/>
        <w:ind w:firstLine="420" w:firstLineChars="200"/>
        <w:rPr>
          <w:rFonts w:ascii="宋体" w:hAnsi="宋体" w:cs="宋体"/>
          <w:bCs/>
          <w:szCs w:val="21"/>
        </w:rPr>
      </w:pPr>
      <w:r>
        <w:rPr>
          <w:rFonts w:hint="eastAsia" w:ascii="宋体" w:hAnsi="宋体" w:cs="宋体"/>
          <w:bCs/>
          <w:szCs w:val="21"/>
        </w:rPr>
        <w:t>截止时间：</w:t>
      </w:r>
      <w:r>
        <w:rPr>
          <w:rFonts w:ascii="宋体" w:hAnsi="宋体" w:cs="宋体"/>
          <w:bCs/>
          <w:szCs w:val="21"/>
        </w:rPr>
        <w:t>2023</w:t>
      </w:r>
      <w:r>
        <w:rPr>
          <w:rFonts w:hint="eastAsia" w:ascii="宋体" w:hAnsi="宋体" w:cs="宋体"/>
          <w:bCs/>
          <w:szCs w:val="21"/>
        </w:rPr>
        <w:t>年1</w:t>
      </w:r>
      <w:r>
        <w:rPr>
          <w:rFonts w:ascii="宋体" w:hAnsi="宋体" w:cs="宋体"/>
          <w:bCs/>
          <w:szCs w:val="21"/>
        </w:rPr>
        <w:t>1</w:t>
      </w:r>
      <w:r>
        <w:rPr>
          <w:rFonts w:hint="eastAsia" w:ascii="宋体" w:hAnsi="宋体" w:cs="宋体"/>
          <w:bCs/>
          <w:szCs w:val="21"/>
        </w:rPr>
        <w:t>月2</w:t>
      </w:r>
      <w:r>
        <w:rPr>
          <w:rFonts w:hint="eastAsia" w:ascii="宋体" w:hAnsi="宋体" w:cs="宋体"/>
          <w:bCs/>
          <w:szCs w:val="21"/>
          <w:lang w:val="en-US" w:eastAsia="zh-CN"/>
        </w:rPr>
        <w:t>4</w:t>
      </w:r>
      <w:r>
        <w:rPr>
          <w:rFonts w:hint="eastAsia" w:ascii="宋体" w:hAnsi="宋体" w:cs="宋体"/>
          <w:bCs/>
          <w:szCs w:val="21"/>
        </w:rPr>
        <w:t>日上午9点3</w:t>
      </w:r>
      <w:r>
        <w:rPr>
          <w:rFonts w:ascii="宋体" w:hAnsi="宋体" w:cs="宋体"/>
          <w:bCs/>
          <w:szCs w:val="21"/>
        </w:rPr>
        <w:t>0</w:t>
      </w:r>
      <w:r>
        <w:rPr>
          <w:rFonts w:hint="eastAsia" w:ascii="宋体" w:hAnsi="宋体" w:cs="宋体"/>
          <w:bCs/>
          <w:szCs w:val="21"/>
        </w:rPr>
        <w:t>分</w:t>
      </w:r>
    </w:p>
    <w:p>
      <w:pPr>
        <w:spacing w:line="480" w:lineRule="auto"/>
        <w:ind w:firstLine="420" w:firstLineChars="200"/>
        <w:rPr>
          <w:rFonts w:ascii="宋体" w:hAnsi="宋体" w:cs="宋体"/>
          <w:szCs w:val="21"/>
        </w:rPr>
      </w:pPr>
      <w:r>
        <w:rPr>
          <w:rFonts w:hint="eastAsia" w:ascii="宋体" w:hAnsi="宋体" w:cs="宋体"/>
          <w:szCs w:val="21"/>
        </w:rPr>
        <w:t>地点：泰州市春风路1</w:t>
      </w:r>
      <w:r>
        <w:rPr>
          <w:rFonts w:ascii="宋体" w:hAnsi="宋体" w:cs="宋体"/>
          <w:szCs w:val="21"/>
        </w:rPr>
        <w:t>0</w:t>
      </w:r>
      <w:r>
        <w:rPr>
          <w:rFonts w:hint="eastAsia" w:ascii="宋体" w:hAnsi="宋体" w:cs="宋体"/>
          <w:szCs w:val="21"/>
        </w:rPr>
        <w:t>号酩悦公馆7</w:t>
      </w:r>
      <w:r>
        <w:rPr>
          <w:rFonts w:ascii="宋体" w:hAnsi="宋体" w:cs="宋体"/>
          <w:szCs w:val="21"/>
        </w:rPr>
        <w:t>10</w:t>
      </w:r>
      <w:r>
        <w:rPr>
          <w:rFonts w:hint="eastAsia" w:ascii="宋体" w:hAnsi="宋体" w:cs="宋体"/>
          <w:szCs w:val="21"/>
        </w:rPr>
        <w:t>室</w:t>
      </w:r>
    </w:p>
    <w:p>
      <w:pPr>
        <w:spacing w:line="480" w:lineRule="auto"/>
        <w:ind w:firstLine="420" w:firstLineChars="200"/>
        <w:rPr>
          <w:rFonts w:ascii="宋体" w:hAnsi="宋体" w:cs="宋体"/>
          <w:szCs w:val="21"/>
        </w:rPr>
      </w:pPr>
      <w:r>
        <w:rPr>
          <w:rFonts w:hint="eastAsia" w:ascii="宋体" w:hAnsi="宋体" w:cs="宋体"/>
          <w:szCs w:val="21"/>
        </w:rPr>
        <w:t>本项目不接受供应商以邮递、电子邮件等方式递交的响应文件，应由其法定代表人或持法定代表人委托书的授权代表于响应文件提交截止时间前现场提交。</w:t>
      </w:r>
    </w:p>
    <w:p>
      <w:pPr>
        <w:pStyle w:val="3"/>
        <w:keepNext w:val="0"/>
        <w:keepLines w:val="0"/>
        <w:spacing w:before="0" w:after="0" w:line="480" w:lineRule="auto"/>
        <w:ind w:firstLine="422" w:firstLineChars="200"/>
        <w:jc w:val="both"/>
        <w:rPr>
          <w:rFonts w:ascii="宋体" w:hAnsi="宋体" w:eastAsia="宋体" w:cs="宋体"/>
          <w:sz w:val="21"/>
          <w:szCs w:val="21"/>
        </w:rPr>
      </w:pPr>
      <w:r>
        <w:rPr>
          <w:rFonts w:hint="eastAsia" w:ascii="宋体" w:hAnsi="宋体" w:eastAsia="宋体" w:cs="宋体"/>
          <w:sz w:val="21"/>
          <w:szCs w:val="21"/>
        </w:rPr>
        <w:t>五、开启</w:t>
      </w:r>
      <w:bookmarkEnd w:id="20"/>
      <w:bookmarkEnd w:id="21"/>
      <w:bookmarkEnd w:id="22"/>
      <w:bookmarkEnd w:id="23"/>
    </w:p>
    <w:p>
      <w:pPr>
        <w:spacing w:line="480" w:lineRule="auto"/>
        <w:ind w:firstLine="420" w:firstLineChars="200"/>
        <w:rPr>
          <w:rFonts w:ascii="宋体" w:hAnsi="宋体" w:cs="宋体"/>
          <w:bCs/>
          <w:szCs w:val="21"/>
        </w:rPr>
      </w:pPr>
      <w:r>
        <w:rPr>
          <w:rFonts w:hint="eastAsia" w:ascii="宋体" w:hAnsi="宋体" w:cs="宋体"/>
          <w:szCs w:val="21"/>
        </w:rPr>
        <w:t>时间：</w:t>
      </w:r>
      <w:r>
        <w:rPr>
          <w:rFonts w:ascii="宋体" w:hAnsi="宋体" w:cs="宋体"/>
          <w:bCs/>
          <w:szCs w:val="21"/>
        </w:rPr>
        <w:t>2023</w:t>
      </w:r>
      <w:r>
        <w:rPr>
          <w:rFonts w:hint="eastAsia" w:ascii="宋体" w:hAnsi="宋体" w:cs="宋体"/>
          <w:bCs/>
          <w:szCs w:val="21"/>
        </w:rPr>
        <w:t>年1</w:t>
      </w:r>
      <w:r>
        <w:rPr>
          <w:rFonts w:ascii="宋体" w:hAnsi="宋体" w:cs="宋体"/>
          <w:bCs/>
          <w:szCs w:val="21"/>
        </w:rPr>
        <w:t>1</w:t>
      </w:r>
      <w:r>
        <w:rPr>
          <w:rFonts w:hint="eastAsia" w:ascii="宋体" w:hAnsi="宋体" w:cs="宋体"/>
          <w:bCs/>
          <w:szCs w:val="21"/>
        </w:rPr>
        <w:t>月</w:t>
      </w:r>
      <w:r>
        <w:rPr>
          <w:rFonts w:hint="eastAsia" w:ascii="宋体" w:hAnsi="宋体" w:cs="宋体"/>
          <w:bCs/>
          <w:szCs w:val="21"/>
          <w:lang w:val="en-US" w:eastAsia="zh-CN"/>
        </w:rPr>
        <w:t>24</w:t>
      </w:r>
      <w:r>
        <w:rPr>
          <w:rFonts w:hint="eastAsia" w:ascii="宋体" w:hAnsi="宋体" w:cs="宋体"/>
          <w:bCs/>
          <w:szCs w:val="21"/>
        </w:rPr>
        <w:t>日上午9点3</w:t>
      </w:r>
      <w:r>
        <w:rPr>
          <w:rFonts w:ascii="宋体" w:hAnsi="宋体" w:cs="宋体"/>
          <w:bCs/>
          <w:szCs w:val="21"/>
        </w:rPr>
        <w:t>0</w:t>
      </w:r>
      <w:r>
        <w:rPr>
          <w:rFonts w:hint="eastAsia" w:ascii="宋体" w:hAnsi="宋体" w:cs="宋体"/>
          <w:bCs/>
          <w:szCs w:val="21"/>
        </w:rPr>
        <w:t>分</w:t>
      </w:r>
    </w:p>
    <w:p>
      <w:pPr>
        <w:spacing w:line="480" w:lineRule="auto"/>
        <w:ind w:firstLine="420" w:firstLineChars="200"/>
        <w:rPr>
          <w:rFonts w:ascii="宋体" w:hAnsi="宋体" w:cs="宋体"/>
          <w:szCs w:val="21"/>
        </w:rPr>
      </w:pPr>
      <w:r>
        <w:rPr>
          <w:rFonts w:hint="eastAsia" w:ascii="宋体" w:hAnsi="宋体" w:cs="宋体"/>
          <w:szCs w:val="21"/>
        </w:rPr>
        <w:t>地点：</w:t>
      </w:r>
      <w:bookmarkStart w:id="24" w:name="_Toc35393803"/>
      <w:bookmarkStart w:id="25" w:name="_Toc35393634"/>
      <w:bookmarkStart w:id="26" w:name="_Toc28359017"/>
      <w:bookmarkStart w:id="27" w:name="_Toc28359094"/>
      <w:r>
        <w:rPr>
          <w:rFonts w:hint="eastAsia" w:ascii="宋体" w:hAnsi="宋体" w:cs="宋体"/>
          <w:szCs w:val="21"/>
        </w:rPr>
        <w:t>泰州市春风路1</w:t>
      </w:r>
      <w:r>
        <w:rPr>
          <w:rFonts w:ascii="宋体" w:hAnsi="宋体" w:cs="宋体"/>
          <w:szCs w:val="21"/>
        </w:rPr>
        <w:t>0</w:t>
      </w:r>
      <w:r>
        <w:rPr>
          <w:rFonts w:hint="eastAsia" w:ascii="宋体" w:hAnsi="宋体" w:cs="宋体"/>
          <w:szCs w:val="21"/>
        </w:rPr>
        <w:t>号酩悦公馆7</w:t>
      </w:r>
      <w:r>
        <w:rPr>
          <w:rFonts w:ascii="宋体" w:hAnsi="宋体" w:cs="宋体"/>
          <w:szCs w:val="21"/>
        </w:rPr>
        <w:t>10</w:t>
      </w:r>
      <w:r>
        <w:rPr>
          <w:rFonts w:hint="eastAsia" w:ascii="宋体" w:hAnsi="宋体" w:cs="宋体"/>
          <w:szCs w:val="21"/>
        </w:rPr>
        <w:t>室</w:t>
      </w:r>
    </w:p>
    <w:p>
      <w:pPr>
        <w:spacing w:line="480" w:lineRule="auto"/>
        <w:ind w:firstLine="420" w:firstLineChars="200"/>
        <w:rPr>
          <w:rFonts w:ascii="宋体" w:hAnsi="宋体" w:cs="宋体"/>
          <w:szCs w:val="21"/>
        </w:rPr>
      </w:pPr>
      <w:r>
        <w:rPr>
          <w:rFonts w:hint="eastAsia" w:ascii="宋体" w:hAnsi="宋体" w:cs="宋体"/>
          <w:szCs w:val="21"/>
        </w:rPr>
        <w:t>六、公告期限</w:t>
      </w:r>
      <w:bookmarkEnd w:id="24"/>
      <w:bookmarkEnd w:id="25"/>
      <w:bookmarkEnd w:id="26"/>
      <w:bookmarkEnd w:id="27"/>
    </w:p>
    <w:p>
      <w:pPr>
        <w:spacing w:line="48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5</w:t>
      </w:r>
      <w:r>
        <w:rPr>
          <w:rFonts w:hint="eastAsia" w:ascii="宋体" w:hAnsi="宋体" w:cs="宋体"/>
          <w:kern w:val="0"/>
          <w:szCs w:val="21"/>
        </w:rPr>
        <w:t>个工作日。</w:t>
      </w:r>
    </w:p>
    <w:p>
      <w:pPr>
        <w:pStyle w:val="3"/>
        <w:keepNext w:val="0"/>
        <w:keepLines w:val="0"/>
        <w:numPr>
          <w:ilvl w:val="0"/>
          <w:numId w:val="6"/>
        </w:numPr>
        <w:spacing w:before="0" w:after="0" w:line="480" w:lineRule="auto"/>
        <w:ind w:firstLine="422" w:firstLineChars="200"/>
        <w:jc w:val="both"/>
        <w:rPr>
          <w:rFonts w:ascii="宋体" w:hAnsi="宋体" w:eastAsia="宋体" w:cs="宋体"/>
          <w:sz w:val="21"/>
          <w:szCs w:val="21"/>
        </w:rPr>
      </w:pPr>
      <w:bookmarkStart w:id="28" w:name="_Toc35393635"/>
      <w:bookmarkStart w:id="29" w:name="_Toc35393804"/>
      <w:r>
        <w:rPr>
          <w:rFonts w:hint="eastAsia" w:ascii="宋体" w:hAnsi="宋体" w:eastAsia="宋体" w:cs="宋体"/>
          <w:sz w:val="21"/>
          <w:szCs w:val="21"/>
        </w:rPr>
        <w:t>其他补充</w:t>
      </w:r>
      <w:bookmarkEnd w:id="28"/>
      <w:bookmarkEnd w:id="29"/>
      <w:r>
        <w:rPr>
          <w:rFonts w:hint="eastAsia" w:ascii="宋体" w:hAnsi="宋体" w:eastAsia="宋体" w:cs="宋体"/>
          <w:sz w:val="21"/>
          <w:szCs w:val="21"/>
        </w:rPr>
        <w:t>事宜</w:t>
      </w:r>
    </w:p>
    <w:p>
      <w:pPr>
        <w:pStyle w:val="4"/>
      </w:pPr>
      <w:r>
        <w:rPr>
          <w:rFonts w:hint="eastAsia" w:ascii="宋体" w:hAnsi="宋体" w:cs="宋体"/>
          <w:szCs w:val="21"/>
        </w:rPr>
        <w:t>无</w:t>
      </w:r>
    </w:p>
    <w:p>
      <w:pPr>
        <w:pStyle w:val="3"/>
        <w:keepNext w:val="0"/>
        <w:keepLines w:val="0"/>
        <w:spacing w:before="0" w:after="0" w:line="480" w:lineRule="auto"/>
        <w:ind w:firstLine="422" w:firstLineChars="200"/>
        <w:jc w:val="both"/>
        <w:rPr>
          <w:rFonts w:ascii="宋体" w:hAnsi="宋体" w:eastAsia="宋体" w:cs="宋体"/>
          <w:sz w:val="21"/>
          <w:szCs w:val="21"/>
        </w:rPr>
      </w:pPr>
      <w:bookmarkStart w:id="30" w:name="_Toc28359018"/>
      <w:bookmarkStart w:id="31" w:name="_Toc28359095"/>
      <w:bookmarkStart w:id="32" w:name="_Toc35393636"/>
      <w:bookmarkStart w:id="33" w:name="_Toc35393805"/>
      <w:r>
        <w:rPr>
          <w:rFonts w:hint="eastAsia" w:ascii="宋体" w:hAnsi="宋体" w:eastAsia="宋体" w:cs="宋体"/>
          <w:sz w:val="21"/>
          <w:szCs w:val="21"/>
        </w:rPr>
        <w:t>八、凡对本次采购提出询问，请按以下方式联系。</w:t>
      </w:r>
      <w:bookmarkEnd w:id="30"/>
      <w:bookmarkEnd w:id="31"/>
      <w:bookmarkEnd w:id="32"/>
      <w:bookmarkEnd w:id="33"/>
    </w:p>
    <w:p>
      <w:pPr>
        <w:widowControl/>
        <w:spacing w:line="480" w:lineRule="auto"/>
        <w:ind w:firstLine="420" w:firstLineChars="200"/>
        <w:jc w:val="left"/>
        <w:rPr>
          <w:rFonts w:ascii="宋体" w:hAnsi="宋体" w:cs="宋体"/>
          <w:szCs w:val="21"/>
        </w:rPr>
      </w:pPr>
      <w:r>
        <w:rPr>
          <w:rFonts w:hint="eastAsia" w:ascii="宋体" w:hAnsi="宋体" w:cs="宋体"/>
          <w:szCs w:val="21"/>
        </w:rPr>
        <w:t>1.采购人信息</w:t>
      </w:r>
    </w:p>
    <w:p>
      <w:pPr>
        <w:widowControl/>
        <w:shd w:val="clear" w:color="auto" w:fill="FFFFFF"/>
        <w:spacing w:line="480" w:lineRule="auto"/>
        <w:ind w:firstLine="420" w:firstLineChars="200"/>
        <w:contextualSpacing/>
        <w:jc w:val="left"/>
        <w:rPr>
          <w:rFonts w:ascii="宋体" w:hAnsi="宋体" w:cs="宋体"/>
          <w:szCs w:val="21"/>
        </w:rPr>
      </w:pPr>
      <w:bookmarkStart w:id="34" w:name="_Toc28359086"/>
      <w:bookmarkStart w:id="35" w:name="_Toc28359009"/>
      <w:r>
        <w:rPr>
          <w:rFonts w:hint="eastAsia" w:ascii="宋体" w:hAnsi="宋体" w:cs="宋体"/>
          <w:szCs w:val="21"/>
        </w:rPr>
        <w:t>名 称：泰州市农业农村局</w:t>
      </w:r>
    </w:p>
    <w:p>
      <w:pPr>
        <w:widowControl/>
        <w:shd w:val="clear" w:color="auto" w:fill="FFFFFF"/>
        <w:spacing w:line="480" w:lineRule="auto"/>
        <w:ind w:firstLine="420" w:firstLineChars="200"/>
        <w:contextualSpacing/>
        <w:jc w:val="left"/>
        <w:rPr>
          <w:rFonts w:ascii="宋体" w:hAnsi="宋体" w:cs="宋体"/>
          <w:szCs w:val="21"/>
        </w:rPr>
      </w:pPr>
      <w:r>
        <w:rPr>
          <w:rFonts w:hint="eastAsia" w:ascii="宋体" w:hAnsi="宋体" w:cs="宋体"/>
          <w:szCs w:val="21"/>
        </w:rPr>
        <w:t>地址：泰州市海陵区凤凰东路66号</w:t>
      </w:r>
    </w:p>
    <w:p>
      <w:pPr>
        <w:widowControl/>
        <w:shd w:val="clear" w:color="auto" w:fill="FFFFFF"/>
        <w:spacing w:line="480" w:lineRule="auto"/>
        <w:ind w:firstLine="420" w:firstLineChars="200"/>
        <w:contextualSpacing/>
        <w:jc w:val="left"/>
        <w:rPr>
          <w:rFonts w:ascii="宋体" w:hAnsi="宋体" w:cs="宋体"/>
          <w:szCs w:val="21"/>
        </w:rPr>
      </w:pPr>
      <w:r>
        <w:rPr>
          <w:rFonts w:hint="eastAsia" w:ascii="宋体" w:hAnsi="宋体" w:cs="宋体"/>
          <w:szCs w:val="21"/>
        </w:rPr>
        <w:t>联系方式：13901432770</w:t>
      </w:r>
    </w:p>
    <w:p>
      <w:pPr>
        <w:widowControl/>
        <w:shd w:val="clear" w:color="auto" w:fill="FFFFFF"/>
        <w:spacing w:line="480" w:lineRule="auto"/>
        <w:ind w:firstLine="420" w:firstLineChars="200"/>
        <w:contextualSpacing/>
        <w:jc w:val="left"/>
        <w:rPr>
          <w:rFonts w:ascii="宋体" w:hAnsi="宋体" w:cs="宋体"/>
          <w:szCs w:val="21"/>
        </w:rPr>
      </w:pPr>
      <w:r>
        <w:rPr>
          <w:rFonts w:hint="eastAsia" w:ascii="宋体" w:hAnsi="宋体" w:cs="宋体"/>
          <w:szCs w:val="21"/>
        </w:rPr>
        <w:t>联系人：李先生</w:t>
      </w:r>
    </w:p>
    <w:p>
      <w:pPr>
        <w:widowControl/>
        <w:shd w:val="clear" w:color="auto" w:fill="FFFFFF"/>
        <w:spacing w:line="480" w:lineRule="auto"/>
        <w:ind w:firstLine="420" w:firstLineChars="200"/>
        <w:contextualSpacing/>
        <w:jc w:val="left"/>
        <w:rPr>
          <w:rFonts w:ascii="宋体" w:hAnsi="宋体" w:cs="宋体"/>
          <w:szCs w:val="21"/>
        </w:rPr>
      </w:pPr>
      <w:r>
        <w:rPr>
          <w:rFonts w:hint="eastAsia" w:ascii="宋体" w:hAnsi="宋体" w:cs="宋体"/>
          <w:szCs w:val="21"/>
        </w:rPr>
        <w:t>2.采购代理机构信息</w:t>
      </w:r>
      <w:bookmarkEnd w:id="34"/>
      <w:bookmarkEnd w:id="35"/>
    </w:p>
    <w:p>
      <w:pPr>
        <w:spacing w:line="480" w:lineRule="auto"/>
        <w:ind w:firstLine="420" w:firstLineChars="200"/>
        <w:rPr>
          <w:rFonts w:ascii="宋体" w:hAnsi="宋体" w:cs="宋体"/>
          <w:szCs w:val="21"/>
        </w:rPr>
      </w:pPr>
      <w:r>
        <w:rPr>
          <w:rFonts w:hint="eastAsia" w:ascii="宋体" w:hAnsi="宋体" w:cs="宋体"/>
          <w:szCs w:val="21"/>
        </w:rPr>
        <w:t>名 称：江苏兴加亿工程项目管理咨询有限公司</w:t>
      </w:r>
    </w:p>
    <w:p>
      <w:pPr>
        <w:spacing w:line="480" w:lineRule="auto"/>
        <w:ind w:firstLine="420" w:firstLineChars="200"/>
        <w:rPr>
          <w:rFonts w:ascii="宋体" w:hAnsi="宋体" w:cs="宋体"/>
          <w:szCs w:val="21"/>
        </w:rPr>
      </w:pPr>
      <w:r>
        <w:rPr>
          <w:rFonts w:hint="eastAsia" w:ascii="宋体" w:hAnsi="宋体" w:cs="宋体"/>
          <w:szCs w:val="21"/>
        </w:rPr>
        <w:t>地址：泰州市春风路1</w:t>
      </w:r>
      <w:r>
        <w:rPr>
          <w:rFonts w:ascii="宋体" w:hAnsi="宋体" w:cs="宋体"/>
          <w:szCs w:val="21"/>
        </w:rPr>
        <w:t>0</w:t>
      </w:r>
      <w:r>
        <w:rPr>
          <w:rFonts w:hint="eastAsia" w:ascii="宋体" w:hAnsi="宋体" w:cs="宋体"/>
          <w:szCs w:val="21"/>
        </w:rPr>
        <w:t>号酩悦公馆7</w:t>
      </w:r>
      <w:r>
        <w:rPr>
          <w:rFonts w:ascii="宋体" w:hAnsi="宋体" w:cs="宋体"/>
          <w:szCs w:val="21"/>
        </w:rPr>
        <w:t>10</w:t>
      </w:r>
      <w:r>
        <w:rPr>
          <w:rFonts w:hint="eastAsia" w:ascii="宋体" w:hAnsi="宋体" w:cs="宋体"/>
          <w:szCs w:val="21"/>
        </w:rPr>
        <w:t>室</w:t>
      </w:r>
    </w:p>
    <w:p>
      <w:pPr>
        <w:spacing w:line="480" w:lineRule="auto"/>
        <w:ind w:firstLine="420" w:firstLineChars="200"/>
        <w:rPr>
          <w:rFonts w:ascii="宋体" w:hAnsi="宋体" w:cs="宋体"/>
          <w:szCs w:val="21"/>
        </w:rPr>
      </w:pPr>
      <w:r>
        <w:rPr>
          <w:rFonts w:hint="eastAsia" w:ascii="宋体" w:hAnsi="宋体" w:cs="宋体"/>
          <w:szCs w:val="21"/>
        </w:rPr>
        <w:t>联系方式：</w:t>
      </w:r>
      <w:bookmarkStart w:id="36" w:name="_Toc28359010"/>
      <w:bookmarkStart w:id="37" w:name="_Toc28359087"/>
      <w:r>
        <w:rPr>
          <w:rFonts w:hint="eastAsia" w:ascii="宋体" w:hAnsi="宋体" w:cs="宋体"/>
          <w:szCs w:val="21"/>
        </w:rPr>
        <w:t>1</w:t>
      </w:r>
      <w:r>
        <w:rPr>
          <w:rFonts w:ascii="宋体" w:hAnsi="宋体" w:cs="宋体"/>
          <w:szCs w:val="21"/>
        </w:rPr>
        <w:t>8105271505</w:t>
      </w:r>
    </w:p>
    <w:bookmarkEnd w:id="36"/>
    <w:bookmarkEnd w:id="37"/>
    <w:p>
      <w:pPr>
        <w:pStyle w:val="8"/>
        <w:jc w:val="center"/>
        <w:rPr>
          <w:rFonts w:ascii="宋体" w:hAnsi="宋体" w:cs="宋体"/>
          <w:b/>
          <w:bCs/>
          <w:szCs w:val="21"/>
        </w:rPr>
      </w:pPr>
    </w:p>
    <w:p>
      <w:pPr>
        <w:pStyle w:val="8"/>
        <w:jc w:val="center"/>
        <w:rPr>
          <w:rFonts w:ascii="宋体" w:hAnsi="宋体" w:cs="宋体"/>
          <w:b/>
          <w:bCs/>
          <w:szCs w:val="21"/>
        </w:rPr>
      </w:pPr>
    </w:p>
    <w:p>
      <w:pPr>
        <w:rPr>
          <w:rFonts w:ascii="宋体" w:hAnsi="宋体" w:cs="宋体"/>
          <w:b/>
          <w:bCs/>
          <w:szCs w:val="21"/>
        </w:rPr>
      </w:pPr>
    </w:p>
    <w:p>
      <w:pPr>
        <w:pStyle w:val="8"/>
        <w:rPr>
          <w:rFonts w:ascii="宋体" w:hAnsi="宋体" w:cs="宋体"/>
          <w:b/>
          <w:bCs/>
          <w:szCs w:val="21"/>
        </w:rPr>
      </w:pPr>
    </w:p>
    <w:p>
      <w:pPr>
        <w:rPr>
          <w:rFonts w:ascii="宋体" w:hAnsi="宋体" w:cs="宋体"/>
          <w:b/>
          <w:bCs/>
          <w:szCs w:val="21"/>
        </w:rPr>
      </w:pPr>
    </w:p>
    <w:p>
      <w:pPr>
        <w:pStyle w:val="8"/>
        <w:rPr>
          <w:rFonts w:ascii="宋体" w:hAnsi="宋体" w:cs="宋体"/>
          <w:b/>
          <w:bCs/>
          <w:szCs w:val="21"/>
        </w:rPr>
      </w:pPr>
    </w:p>
    <w:p>
      <w:pPr>
        <w:pStyle w:val="2"/>
        <w:rPr>
          <w:rFonts w:ascii="宋体" w:hAnsi="宋体" w:cs="宋体"/>
          <w:sz w:val="28"/>
          <w:szCs w:val="28"/>
        </w:rPr>
      </w:pPr>
      <w:bookmarkStart w:id="38" w:name="_Toc29867"/>
      <w:r>
        <w:rPr>
          <w:rFonts w:ascii="宋体" w:hAnsi="宋体" w:cs="宋体"/>
        </w:rPr>
        <w:br w:type="page"/>
      </w:r>
      <w:r>
        <w:rPr>
          <w:rFonts w:hint="eastAsia" w:ascii="宋体" w:hAnsi="宋体" w:cs="宋体"/>
          <w:sz w:val="28"/>
          <w:szCs w:val="28"/>
        </w:rPr>
        <w:t>第二章  参加磋商供应商须知</w:t>
      </w:r>
      <w:bookmarkEnd w:id="38"/>
    </w:p>
    <w:p>
      <w:pPr>
        <w:spacing w:line="360" w:lineRule="auto"/>
        <w:jc w:val="center"/>
        <w:rPr>
          <w:rFonts w:ascii="宋体" w:hAnsi="宋体" w:cs="宋体"/>
          <w:b/>
          <w:bCs/>
          <w:szCs w:val="21"/>
        </w:rPr>
      </w:pPr>
      <w:r>
        <w:rPr>
          <w:rFonts w:hint="eastAsia" w:ascii="宋体" w:hAnsi="宋体" w:cs="宋体"/>
          <w:bCs/>
          <w:szCs w:val="21"/>
        </w:rPr>
        <w:t>（参加竞争性磋商的供应商以下简称“磋商供应商”）</w:t>
      </w:r>
    </w:p>
    <w:bookmarkEnd w:id="1"/>
    <w:bookmarkEnd w:id="2"/>
    <w:bookmarkEnd w:id="3"/>
    <w:p>
      <w:pPr>
        <w:numPr>
          <w:ilvl w:val="0"/>
          <w:numId w:val="7"/>
        </w:numPr>
        <w:tabs>
          <w:tab w:val="left" w:pos="900"/>
        </w:tabs>
        <w:spacing w:line="360" w:lineRule="auto"/>
        <w:ind w:firstLine="422" w:firstLineChars="200"/>
        <w:rPr>
          <w:rFonts w:ascii="宋体" w:hAnsi="宋体" w:cs="宋体"/>
          <w:b/>
          <w:szCs w:val="21"/>
        </w:rPr>
      </w:pPr>
      <w:r>
        <w:rPr>
          <w:rFonts w:hint="eastAsia" w:ascii="宋体" w:hAnsi="宋体" w:cs="宋体"/>
          <w:b/>
          <w:szCs w:val="21"/>
        </w:rPr>
        <w:t>总则</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1、适用范围</w:t>
      </w:r>
    </w:p>
    <w:p>
      <w:pPr>
        <w:tabs>
          <w:tab w:val="left" w:pos="900"/>
        </w:tabs>
        <w:spacing w:line="360" w:lineRule="auto"/>
        <w:ind w:firstLine="420" w:firstLineChars="200"/>
        <w:rPr>
          <w:rFonts w:ascii="宋体" w:hAnsi="宋体" w:cs="宋体"/>
          <w:szCs w:val="21"/>
        </w:rPr>
      </w:pPr>
      <w:r>
        <w:rPr>
          <w:rFonts w:hint="eastAsia" w:ascii="宋体" w:hAnsi="宋体" w:cs="宋体"/>
          <w:szCs w:val="21"/>
        </w:rPr>
        <w:t>本竞争性磋商文件仅适用于竞争性磋商公告中所叙述项目的相关服务采购。</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2、项目采购方式</w:t>
      </w:r>
    </w:p>
    <w:p>
      <w:pPr>
        <w:tabs>
          <w:tab w:val="left" w:pos="900"/>
        </w:tabs>
        <w:spacing w:line="360" w:lineRule="auto"/>
        <w:ind w:firstLine="420" w:firstLineChars="200"/>
        <w:rPr>
          <w:rFonts w:ascii="宋体" w:hAnsi="宋体" w:cs="宋体"/>
          <w:szCs w:val="21"/>
        </w:rPr>
      </w:pPr>
      <w:r>
        <w:rPr>
          <w:rFonts w:hint="eastAsia" w:ascii="宋体" w:hAnsi="宋体" w:cs="宋体"/>
          <w:szCs w:val="21"/>
        </w:rPr>
        <w:t>本次采购采取竞争性磋商的方式。</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3、合格的磋商供应商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3.1满足本磋商文件“竞争性磋商公告”中申请人的资格要求规定。</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3.2 满足本磋商文件其他实质性要求和条件规定。</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4、参加磋商费用</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4.1参加磋商供应商应自行承担所有与参加磋商有关的费用。不论最终的成交结果如何，采购人或代理机构在任何情况下均无义务和责任承担这些费用。</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4.2成交供应商</w:t>
      </w:r>
      <w:r>
        <w:rPr>
          <w:rFonts w:hint="eastAsia" w:ascii="宋体" w:hAnsi="宋体" w:cs="宋体"/>
          <w:spacing w:val="15"/>
          <w:kern w:val="0"/>
          <w:szCs w:val="21"/>
        </w:rPr>
        <w:t>须按国家计委计[2002]1980号文收费标准向代理机构支付中标服务费。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5、磋商文件的约束力</w:t>
      </w:r>
    </w:p>
    <w:p>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line="360" w:lineRule="auto"/>
        <w:ind w:firstLine="420" w:firstLineChars="200"/>
        <w:rPr>
          <w:rFonts w:ascii="宋体" w:hAnsi="宋体" w:cs="宋体"/>
          <w:szCs w:val="21"/>
        </w:rPr>
      </w:pPr>
      <w:bookmarkStart w:id="39" w:name="_Toc462564070"/>
      <w:bookmarkStart w:id="40" w:name="_Toc16938527"/>
      <w:bookmarkStart w:id="41" w:name="_Toc513029211"/>
      <w:bookmarkStart w:id="42" w:name="_Toc20823283"/>
      <w:r>
        <w:rPr>
          <w:rFonts w:hint="eastAsia" w:ascii="宋体" w:hAnsi="宋体" w:cs="宋体"/>
          <w:szCs w:val="21"/>
        </w:rPr>
        <w:t>6、磋商文件的澄清</w:t>
      </w:r>
      <w:bookmarkEnd w:id="39"/>
      <w:bookmarkEnd w:id="40"/>
      <w:bookmarkEnd w:id="41"/>
      <w:bookmarkEnd w:id="42"/>
      <w:r>
        <w:rPr>
          <w:rFonts w:hint="eastAsia" w:ascii="宋体" w:hAnsi="宋体" w:cs="宋体"/>
          <w:szCs w:val="21"/>
        </w:rPr>
        <w:t>及修改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任何要求对磋商文件进行澄清的供应商，均应在法律法规规定的质疑时效内按竞争性磋商公告中的通讯地址，以书面形式通知代理机构（以代理机构实际收到供应商相关文件为准）。提交首次响应文件截止之日前，代理机构可以对已发出的磋商文件进行必要的澄清或者修改，澄清或者修改的内容作为磋商文件的组成部分。</w:t>
      </w:r>
    </w:p>
    <w:p>
      <w:pPr>
        <w:tabs>
          <w:tab w:val="left" w:pos="900"/>
        </w:tabs>
        <w:spacing w:line="360" w:lineRule="auto"/>
        <w:ind w:firstLine="422" w:firstLineChars="200"/>
        <w:rPr>
          <w:rFonts w:ascii="宋体" w:hAnsi="宋体" w:cs="宋体"/>
          <w:szCs w:val="21"/>
        </w:rPr>
      </w:pPr>
      <w:bookmarkStart w:id="43" w:name="_Toc14577351"/>
      <w:bookmarkStart w:id="44" w:name="_Toc462564072"/>
      <w:bookmarkStart w:id="45" w:name="_Toc61149553"/>
      <w:bookmarkStart w:id="46" w:name="_Toc513029213"/>
      <w:r>
        <w:rPr>
          <w:rFonts w:hint="eastAsia" w:ascii="宋体" w:hAnsi="宋体" w:cs="宋体"/>
          <w:b/>
          <w:szCs w:val="21"/>
        </w:rPr>
        <w:t>二、磋商响应文件的编制</w:t>
      </w:r>
      <w:bookmarkEnd w:id="43"/>
      <w:bookmarkEnd w:id="44"/>
      <w:bookmarkEnd w:id="45"/>
      <w:bookmarkEnd w:id="46"/>
      <w:bookmarkStart w:id="47" w:name="_Toc61149561"/>
      <w:bookmarkStart w:id="48" w:name="_Toc14577361"/>
      <w:bookmarkStart w:id="49" w:name="_Toc513029223"/>
    </w:p>
    <w:p>
      <w:pPr>
        <w:tabs>
          <w:tab w:val="left" w:pos="900"/>
        </w:tabs>
        <w:spacing w:line="360" w:lineRule="auto"/>
        <w:ind w:firstLine="420" w:firstLineChars="200"/>
        <w:rPr>
          <w:rFonts w:ascii="宋体" w:hAnsi="宋体" w:cs="宋体"/>
          <w:szCs w:val="21"/>
        </w:rPr>
      </w:pPr>
      <w:r>
        <w:rPr>
          <w:rFonts w:hint="eastAsia" w:ascii="宋体" w:hAnsi="宋体" w:cs="宋体"/>
          <w:szCs w:val="21"/>
        </w:rPr>
        <w:t>1、磋商响应文件份数和签署</w:t>
      </w:r>
      <w:bookmarkEnd w:id="47"/>
      <w:bookmarkEnd w:id="48"/>
      <w:bookmarkEnd w:id="49"/>
    </w:p>
    <w:p>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1.1磋商供应商应严格按照竞争性磋商文件要求准备磋商响应文件（以下简称响应文件），正本一份，副本三份，每份响应文件封面须清楚地标明“正本”或“副本”字样。</w:t>
      </w:r>
    </w:p>
    <w:p>
      <w:pPr>
        <w:snapToGrid w:val="0"/>
        <w:spacing w:line="360" w:lineRule="auto"/>
        <w:ind w:firstLine="420" w:firstLineChars="200"/>
        <w:rPr>
          <w:rFonts w:ascii="宋体" w:hAnsi="宋体" w:cs="宋体"/>
          <w:szCs w:val="21"/>
        </w:rPr>
      </w:pPr>
      <w:r>
        <w:rPr>
          <w:rFonts w:hint="eastAsia" w:ascii="宋体" w:hAnsi="宋体" w:cs="宋体"/>
          <w:szCs w:val="21"/>
        </w:rPr>
        <w:t>响应文件的正本和所有的副本均需打印或复印。响应文件正本中，磋商文件规定必须以原件形式提交的文件，供应商应当按要求提交，其他文件可以提供复印件，文字材料需打印或用不褪色墨水书写，响应文件正本须经法定代表人或授权代表签字和加盖磋商供应商公章。本磋商文件所表述（指定）的公章是指刻有供应商法定名称的印章，不包括投标、合同、财务、税务、发票等形式的业务专用章。供应商的任何违反本条款行为将会直接导致其响应文件有效性的判定或者使其在评审中处于不利地位。</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1.2 除磋商供应商对错处做必要修改外，响应文件不得行间插字、涂改或增删。如有修改错漏处，必须由响应文件签署人签字或盖章。</w:t>
      </w:r>
    </w:p>
    <w:p>
      <w:pPr>
        <w:tabs>
          <w:tab w:val="left" w:pos="900"/>
        </w:tabs>
        <w:spacing w:line="360" w:lineRule="auto"/>
        <w:ind w:firstLine="420" w:firstLineChars="200"/>
        <w:rPr>
          <w:rFonts w:ascii="宋体" w:hAnsi="宋体" w:cs="宋体"/>
          <w:szCs w:val="21"/>
        </w:rPr>
      </w:pPr>
      <w:bookmarkStart w:id="50" w:name="_Hlt26954834"/>
      <w:bookmarkEnd w:id="50"/>
      <w:bookmarkStart w:id="51" w:name="_Toc513029215"/>
      <w:bookmarkStart w:id="52" w:name="_Toc462564074"/>
      <w:bookmarkStart w:id="53" w:name="_Toc61149555"/>
      <w:bookmarkStart w:id="54" w:name="_Toc14577353"/>
      <w:bookmarkStart w:id="55" w:name="_Toc14577352"/>
      <w:bookmarkStart w:id="56" w:name="_Toc513029214"/>
      <w:bookmarkStart w:id="57" w:name="_Toc462564073"/>
      <w:bookmarkStart w:id="58" w:name="_Toc61149554"/>
      <w:r>
        <w:rPr>
          <w:rFonts w:hint="eastAsia" w:ascii="宋体" w:hAnsi="宋体" w:cs="宋体"/>
          <w:szCs w:val="21"/>
        </w:rPr>
        <w:t>2、响应文件</w:t>
      </w:r>
      <w:bookmarkEnd w:id="51"/>
      <w:bookmarkEnd w:id="52"/>
      <w:bookmarkEnd w:id="53"/>
      <w:bookmarkEnd w:id="54"/>
      <w:r>
        <w:rPr>
          <w:rFonts w:hint="eastAsia" w:ascii="宋体" w:hAnsi="宋体" w:cs="宋体"/>
          <w:szCs w:val="21"/>
        </w:rPr>
        <w:t>编制要求</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2.1磋商供应商提交的响应文件以及其与代理机构及采购人就有关磋商的所有来往函电均应使用简体中文。磋商文件中既有中文也有外文的，以中文意义为准。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2.2 除技术性能另有规定外，响应文件所使用的度量衡单位，均须采用国家法定计量单位。</w:t>
      </w:r>
    </w:p>
    <w:bookmarkEnd w:id="55"/>
    <w:bookmarkEnd w:id="56"/>
    <w:bookmarkEnd w:id="57"/>
    <w:bookmarkEnd w:id="58"/>
    <w:p>
      <w:pPr>
        <w:tabs>
          <w:tab w:val="left" w:pos="900"/>
        </w:tabs>
        <w:spacing w:line="360" w:lineRule="auto"/>
        <w:ind w:firstLine="420" w:firstLineChars="200"/>
        <w:rPr>
          <w:rFonts w:ascii="宋体" w:hAnsi="宋体" w:cs="宋体"/>
          <w:szCs w:val="21"/>
        </w:rPr>
      </w:pPr>
      <w:bookmarkStart w:id="59" w:name="_Hlt26954836"/>
      <w:bookmarkEnd w:id="59"/>
      <w:bookmarkStart w:id="60" w:name="_Hlt26670357"/>
      <w:bookmarkEnd w:id="60"/>
      <w:bookmarkStart w:id="61" w:name="_Toc513029219"/>
      <w:bookmarkStart w:id="62" w:name="_Toc61149558"/>
      <w:bookmarkStart w:id="63" w:name="_Toc14577357"/>
      <w:bookmarkStart w:id="64" w:name="_Toc513029217"/>
      <w:bookmarkStart w:id="65" w:name="_Toc14577355"/>
      <w:bookmarkStart w:id="66" w:name="_Toc61149557"/>
      <w:r>
        <w:rPr>
          <w:rFonts w:hint="eastAsia" w:ascii="宋体" w:hAnsi="宋体" w:cs="宋体"/>
          <w:szCs w:val="21"/>
        </w:rPr>
        <w:t>2.3 响应文件构成</w:t>
      </w:r>
    </w:p>
    <w:p>
      <w:pPr>
        <w:spacing w:line="360" w:lineRule="auto"/>
        <w:ind w:firstLine="420" w:firstLineChars="200"/>
        <w:rPr>
          <w:rFonts w:ascii="宋体" w:hAnsi="宋体" w:cs="宋体"/>
          <w:szCs w:val="21"/>
        </w:rPr>
      </w:pPr>
      <w:r>
        <w:rPr>
          <w:rFonts w:hint="eastAsia" w:ascii="宋体" w:hAnsi="宋体" w:cs="宋体"/>
          <w:szCs w:val="21"/>
        </w:rPr>
        <w:t>供应商应认真阅读和理解磋商文件，并按磋商文件的要求编制响应文件；响应文件应对磋商文件作实质性响应，并保证所提供资料的真实性。</w:t>
      </w:r>
    </w:p>
    <w:bookmarkEnd w:id="61"/>
    <w:bookmarkEnd w:id="62"/>
    <w:bookmarkEnd w:id="63"/>
    <w:p>
      <w:pPr>
        <w:tabs>
          <w:tab w:val="left" w:pos="900"/>
        </w:tabs>
        <w:spacing w:line="360" w:lineRule="auto"/>
        <w:ind w:firstLine="420" w:firstLineChars="200"/>
        <w:rPr>
          <w:rFonts w:ascii="宋体" w:hAnsi="宋体" w:cs="宋体"/>
          <w:szCs w:val="21"/>
        </w:rPr>
      </w:pPr>
      <w:bookmarkStart w:id="67" w:name="_Hlt26668999"/>
      <w:bookmarkEnd w:id="67"/>
      <w:r>
        <w:rPr>
          <w:rFonts w:hint="eastAsia" w:ascii="宋体" w:hAnsi="宋体" w:cs="宋体"/>
          <w:szCs w:val="21"/>
        </w:rPr>
        <w:t>磋商供应商编写的响应文件应包括下列部分：</w:t>
      </w:r>
    </w:p>
    <w:p>
      <w:pPr>
        <w:tabs>
          <w:tab w:val="left" w:pos="900"/>
        </w:tabs>
        <w:spacing w:line="360" w:lineRule="auto"/>
        <w:ind w:firstLine="420" w:firstLineChars="200"/>
        <w:rPr>
          <w:rFonts w:ascii="宋体" w:hAnsi="宋体" w:cs="宋体"/>
          <w:szCs w:val="21"/>
          <w:u w:val="single"/>
        </w:rPr>
      </w:pPr>
      <w:r>
        <w:rPr>
          <w:rFonts w:hint="eastAsia" w:ascii="宋体" w:hAnsi="宋体" w:cs="宋体"/>
          <w:szCs w:val="21"/>
        </w:rPr>
        <w:t>加★项目若有缺失或无效，将导致该响应文件作无效响应文件评定，且不允许在磋商截止时间后补正</w:t>
      </w:r>
      <w:r>
        <w:rPr>
          <w:rFonts w:hint="eastAsia" w:ascii="宋体" w:hAnsi="宋体" w:cs="宋体"/>
          <w:b/>
          <w:bCs/>
          <w:szCs w:val="21"/>
        </w:rPr>
        <w:t>。</w:t>
      </w:r>
    </w:p>
    <w:p>
      <w:pPr>
        <w:pStyle w:val="4"/>
        <w:spacing w:line="360" w:lineRule="auto"/>
        <w:ind w:firstLineChars="200"/>
        <w:rPr>
          <w:rFonts w:ascii="宋体" w:hAnsi="宋体" w:cs="宋体"/>
          <w:b/>
          <w:szCs w:val="21"/>
          <w:lang w:val="zh-CN"/>
        </w:rPr>
      </w:pPr>
      <w:r>
        <w:rPr>
          <w:rFonts w:hint="eastAsia" w:ascii="宋体" w:hAnsi="宋体" w:cs="宋体"/>
          <w:szCs w:val="21"/>
          <w:lang w:val="zh-CN"/>
        </w:rPr>
        <w:t>资格证明文件（复印件须加盖</w:t>
      </w:r>
      <w:r>
        <w:rPr>
          <w:rFonts w:hint="eastAsia" w:ascii="宋体" w:hAnsi="宋体" w:cs="宋体"/>
          <w:szCs w:val="21"/>
        </w:rPr>
        <w:t>供应商</w:t>
      </w:r>
      <w:r>
        <w:rPr>
          <w:rFonts w:hint="eastAsia" w:ascii="宋体" w:hAnsi="宋体" w:cs="宋体"/>
          <w:szCs w:val="21"/>
          <w:lang w:val="zh-CN"/>
        </w:rPr>
        <w:t>单位公章，否则视同未提供。本采购文件所表述（指定）的公章是指刻有供应商法定名称的印章，不包括合同、财务、税务、发票等形式的业务专用章）</w:t>
      </w:r>
    </w:p>
    <w:p>
      <w:pPr>
        <w:pStyle w:val="4"/>
        <w:spacing w:line="360" w:lineRule="auto"/>
        <w:ind w:firstLineChars="200"/>
        <w:rPr>
          <w:rFonts w:ascii="宋体" w:hAnsi="宋体" w:cs="宋体"/>
          <w:szCs w:val="21"/>
        </w:rPr>
      </w:pPr>
      <w:r>
        <w:rPr>
          <w:rFonts w:hint="eastAsia" w:ascii="宋体" w:hAnsi="宋体" w:cs="宋体"/>
          <w:szCs w:val="21"/>
        </w:rPr>
        <w:t xml:space="preserve"> 1、 商务文件</w:t>
      </w:r>
    </w:p>
    <w:p>
      <w:pPr>
        <w:pStyle w:val="4"/>
        <w:spacing w:line="360" w:lineRule="auto"/>
        <w:ind w:firstLineChars="200"/>
        <w:rPr>
          <w:rFonts w:ascii="宋体" w:hAnsi="宋体" w:cs="宋体"/>
          <w:szCs w:val="21"/>
        </w:rPr>
      </w:pPr>
      <w:r>
        <w:rPr>
          <w:rFonts w:hint="eastAsia" w:ascii="宋体" w:hAnsi="宋体" w:cs="宋体"/>
          <w:szCs w:val="21"/>
        </w:rPr>
        <w:t>（1）★磋商响应函原件</w:t>
      </w:r>
    </w:p>
    <w:p>
      <w:pPr>
        <w:pStyle w:val="4"/>
        <w:spacing w:line="360" w:lineRule="auto"/>
        <w:ind w:firstLineChars="200"/>
        <w:rPr>
          <w:rFonts w:ascii="宋体" w:hAnsi="宋体" w:cs="宋体"/>
          <w:szCs w:val="21"/>
        </w:rPr>
      </w:pPr>
      <w:r>
        <w:rPr>
          <w:rFonts w:hint="eastAsia" w:ascii="宋体" w:hAnsi="宋体" w:cs="宋体"/>
          <w:szCs w:val="21"/>
        </w:rPr>
        <w:t>（2）★具有独立承担民事责任能力的企事业法人营业执照（复印件加盖供应商公章）；</w:t>
      </w:r>
    </w:p>
    <w:p>
      <w:pPr>
        <w:pStyle w:val="4"/>
        <w:spacing w:line="360" w:lineRule="auto"/>
        <w:ind w:firstLineChars="200"/>
        <w:rPr>
          <w:rFonts w:ascii="宋体" w:hAnsi="宋体" w:cs="宋体"/>
          <w:szCs w:val="21"/>
        </w:rPr>
      </w:pPr>
      <w:r>
        <w:rPr>
          <w:rFonts w:hint="eastAsia" w:ascii="宋体" w:hAnsi="宋体" w:cs="宋体"/>
          <w:szCs w:val="21"/>
        </w:rPr>
        <w:t>（3）★法定代表人授权委托书（格式见附件，法定代表人亲自参加的除外）；</w:t>
      </w:r>
    </w:p>
    <w:p>
      <w:pPr>
        <w:pStyle w:val="4"/>
        <w:spacing w:line="360" w:lineRule="auto"/>
        <w:ind w:firstLineChars="200"/>
        <w:rPr>
          <w:rFonts w:ascii="宋体" w:hAnsi="宋体" w:cs="宋体"/>
          <w:szCs w:val="21"/>
        </w:rPr>
      </w:pPr>
      <w:r>
        <w:rPr>
          <w:rFonts w:hint="eastAsia" w:ascii="宋体" w:hAnsi="宋体" w:cs="宋体"/>
          <w:szCs w:val="21"/>
        </w:rPr>
        <w:t>（4）★法定代表人身份证复印件；</w:t>
      </w:r>
    </w:p>
    <w:p>
      <w:pPr>
        <w:pStyle w:val="4"/>
        <w:spacing w:line="360" w:lineRule="auto"/>
        <w:ind w:firstLineChars="200"/>
        <w:rPr>
          <w:rFonts w:ascii="宋体" w:hAnsi="宋体" w:cs="宋体"/>
          <w:szCs w:val="21"/>
        </w:rPr>
      </w:pPr>
      <w:r>
        <w:rPr>
          <w:rFonts w:hint="eastAsia" w:ascii="宋体" w:hAnsi="宋体" w:cs="宋体"/>
          <w:szCs w:val="21"/>
        </w:rPr>
        <w:t>（5）★法定代表人授权代表身份证复印件（法定代表人亲自参加的除外）；</w:t>
      </w:r>
    </w:p>
    <w:p>
      <w:pPr>
        <w:pStyle w:val="4"/>
        <w:spacing w:line="360" w:lineRule="auto"/>
        <w:ind w:firstLineChars="200"/>
        <w:rPr>
          <w:rFonts w:ascii="宋体" w:hAnsi="宋体" w:cs="宋体"/>
          <w:szCs w:val="21"/>
        </w:rPr>
      </w:pPr>
      <w:r>
        <w:rPr>
          <w:rFonts w:hint="eastAsia" w:ascii="宋体" w:hAnsi="宋体" w:cs="宋体"/>
          <w:szCs w:val="21"/>
        </w:rPr>
        <w:t>（6）★2022年度的财务状况报告（提供第三方审计报告或财务报表，成立不满一年不需提供）；</w:t>
      </w:r>
    </w:p>
    <w:p>
      <w:pPr>
        <w:pStyle w:val="4"/>
        <w:spacing w:line="360" w:lineRule="auto"/>
        <w:ind w:firstLineChars="200"/>
        <w:rPr>
          <w:rFonts w:ascii="宋体" w:hAnsi="宋体" w:cs="宋体"/>
          <w:szCs w:val="21"/>
        </w:rPr>
      </w:pPr>
      <w:r>
        <w:rPr>
          <w:rFonts w:hint="eastAsia" w:ascii="宋体" w:hAnsi="宋体" w:cs="宋体"/>
          <w:szCs w:val="21"/>
        </w:rPr>
        <w:t>（7）★近三个月中任意一个月份(不含投标当月)的依法缴纳税收的相关材料（提供相关主管部门证明或银行代扣证明）复印件；</w:t>
      </w:r>
    </w:p>
    <w:p>
      <w:pPr>
        <w:pStyle w:val="4"/>
        <w:spacing w:line="360" w:lineRule="auto"/>
        <w:ind w:firstLineChars="200"/>
        <w:rPr>
          <w:rFonts w:ascii="宋体" w:hAnsi="宋体" w:cs="宋体"/>
          <w:szCs w:val="21"/>
        </w:rPr>
      </w:pPr>
      <w:r>
        <w:rPr>
          <w:rFonts w:hint="eastAsia" w:ascii="宋体" w:hAnsi="宋体" w:cs="宋体"/>
          <w:szCs w:val="21"/>
        </w:rPr>
        <w:t xml:space="preserve">（8）★近三个月中任意一个月份(不含投标当月)的依法缴纳社会保障资金的相关材料（提供相关主管部门证明或银行代扣证明）复印件； </w:t>
      </w:r>
    </w:p>
    <w:p>
      <w:pPr>
        <w:pStyle w:val="4"/>
        <w:spacing w:line="360" w:lineRule="auto"/>
        <w:ind w:firstLineChars="200"/>
        <w:rPr>
          <w:rFonts w:ascii="宋体" w:hAnsi="宋体" w:cs="宋体"/>
          <w:szCs w:val="21"/>
        </w:rPr>
      </w:pPr>
      <w:r>
        <w:rPr>
          <w:rFonts w:hint="eastAsia" w:ascii="宋体" w:hAnsi="宋体" w:cs="宋体"/>
          <w:szCs w:val="21"/>
        </w:rPr>
        <w:t>（9）★具备履行合同所必需的设备和专业技术能力的证明材料。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（10）★参加政府采购活动前3年内在经营活动中没有重大违法记录的书面声明。</w:t>
      </w:r>
    </w:p>
    <w:p>
      <w:pPr>
        <w:pStyle w:val="37"/>
        <w:spacing w:line="360" w:lineRule="auto"/>
        <w:ind w:firstLine="420" w:firstLineChars="200"/>
        <w:rPr>
          <w:rFonts w:ascii="宋体" w:hAnsi="宋体" w:cs="宋体"/>
        </w:rPr>
      </w:pPr>
      <w:r>
        <w:rPr>
          <w:rFonts w:hint="eastAsia" w:ascii="宋体" w:hAnsi="宋体" w:cs="宋体"/>
          <w:szCs w:val="21"/>
        </w:rPr>
        <w:t>（11）★落实政府采购政策需满足的资格要求证明材料，其中如为中小微企业提供符合要求的中小企业声明函原件；如为监狱企业提供由省级以上监狱管理局、戒毒管理局(含新疆生产建设兵团)出具的属于监狱企业的证明文件；如为残疾人福利单位提供符合要求的残疾人福利性单位声明函原件。</w:t>
      </w:r>
    </w:p>
    <w:p>
      <w:pPr>
        <w:adjustRightInd w:val="0"/>
        <w:snapToGrid w:val="0"/>
        <w:spacing w:line="360" w:lineRule="auto"/>
        <w:ind w:firstLine="420" w:firstLineChars="200"/>
        <w:rPr>
          <w:rFonts w:ascii="宋体" w:hAnsi="宋体" w:cs="宋体"/>
        </w:rPr>
      </w:pPr>
      <w:r>
        <w:rPr>
          <w:rFonts w:hint="eastAsia" w:ascii="宋体" w:hAnsi="宋体" w:cs="宋体"/>
        </w:rPr>
        <w:t>（12）</w:t>
      </w:r>
      <w:r>
        <w:rPr>
          <w:rFonts w:hint="eastAsia" w:ascii="宋体" w:hAnsi="宋体" w:cs="宋体"/>
          <w:szCs w:val="21"/>
        </w:rPr>
        <w:t>★</w:t>
      </w:r>
      <w:r>
        <w:rPr>
          <w:rFonts w:hint="eastAsia" w:ascii="宋体" w:hAnsi="宋体" w:cs="宋体"/>
        </w:rPr>
        <w:t>特定资格证明材料。</w:t>
      </w:r>
    </w:p>
    <w:p>
      <w:pPr>
        <w:adjustRightInd w:val="0"/>
        <w:snapToGrid w:val="0"/>
        <w:spacing w:line="360" w:lineRule="auto"/>
        <w:ind w:firstLine="420" w:firstLineChars="200"/>
        <w:rPr>
          <w:rFonts w:ascii="宋体" w:hAnsi="宋体" w:cs="宋体"/>
        </w:rPr>
      </w:pPr>
      <w:r>
        <w:rPr>
          <w:rFonts w:hint="eastAsia" w:ascii="宋体" w:hAnsi="宋体" w:cs="宋体"/>
          <w:szCs w:val="21"/>
        </w:rPr>
        <w:t>（13）根据评分标准应当提供的材料。</w:t>
      </w:r>
    </w:p>
    <w:p>
      <w:pPr>
        <w:pStyle w:val="4"/>
        <w:spacing w:line="360" w:lineRule="auto"/>
        <w:ind w:firstLineChars="200"/>
        <w:rPr>
          <w:rFonts w:ascii="宋体" w:hAnsi="宋体" w:cs="宋体"/>
          <w:szCs w:val="21"/>
        </w:rPr>
      </w:pPr>
      <w:r>
        <w:rPr>
          <w:rFonts w:hint="eastAsia" w:ascii="宋体" w:hAnsi="宋体" w:cs="宋体"/>
          <w:szCs w:val="21"/>
        </w:rPr>
        <w:t>（14）供应商认为应当提交的其他材料。</w:t>
      </w:r>
    </w:p>
    <w:p>
      <w:pPr>
        <w:pStyle w:val="4"/>
        <w:spacing w:line="360" w:lineRule="auto"/>
        <w:ind w:firstLineChars="200"/>
        <w:rPr>
          <w:rFonts w:ascii="宋体" w:hAnsi="宋体" w:cs="宋体"/>
          <w:szCs w:val="21"/>
        </w:rPr>
      </w:pPr>
      <w:r>
        <w:rPr>
          <w:rFonts w:hint="eastAsia" w:ascii="宋体" w:hAnsi="宋体" w:cs="宋体"/>
          <w:szCs w:val="21"/>
        </w:rPr>
        <w:t>2、技术文件</w:t>
      </w:r>
    </w:p>
    <w:p>
      <w:pPr>
        <w:pStyle w:val="4"/>
        <w:spacing w:line="360" w:lineRule="auto"/>
        <w:ind w:firstLineChars="200"/>
        <w:rPr>
          <w:rFonts w:ascii="宋体" w:hAnsi="宋体" w:cs="宋体"/>
          <w:szCs w:val="21"/>
        </w:rPr>
      </w:pPr>
      <w:r>
        <w:rPr>
          <w:rFonts w:hint="eastAsia" w:ascii="宋体" w:hAnsi="宋体" w:cs="宋体"/>
          <w:szCs w:val="21"/>
        </w:rPr>
        <w:t>（1）★技术参数响应及偏离表；</w:t>
      </w:r>
    </w:p>
    <w:p>
      <w:pPr>
        <w:pStyle w:val="4"/>
        <w:spacing w:line="360" w:lineRule="auto"/>
        <w:ind w:firstLineChars="200"/>
        <w:rPr>
          <w:rFonts w:ascii="宋体" w:hAnsi="宋体" w:cs="宋体"/>
          <w:szCs w:val="21"/>
        </w:rPr>
      </w:pPr>
      <w:r>
        <w:rPr>
          <w:rFonts w:hint="eastAsia" w:ascii="宋体" w:hAnsi="宋体" w:cs="宋体"/>
          <w:szCs w:val="21"/>
        </w:rPr>
        <w:t>（2）技术方案、服务承诺、培训承诺；</w:t>
      </w:r>
    </w:p>
    <w:p>
      <w:pPr>
        <w:pStyle w:val="4"/>
        <w:spacing w:line="360" w:lineRule="auto"/>
        <w:ind w:firstLineChars="200"/>
        <w:rPr>
          <w:rFonts w:ascii="宋体" w:hAnsi="宋体" w:cs="宋体"/>
          <w:szCs w:val="21"/>
        </w:rPr>
      </w:pPr>
      <w:r>
        <w:rPr>
          <w:rFonts w:hint="eastAsia" w:ascii="宋体" w:hAnsi="宋体" w:cs="宋体"/>
          <w:szCs w:val="21"/>
        </w:rPr>
        <w:t xml:space="preserve">（3）供应商认为应当提交的其他材料。 </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3、磋商响应报价</w:t>
      </w:r>
      <w:bookmarkEnd w:id="64"/>
      <w:bookmarkEnd w:id="65"/>
      <w:bookmarkStart w:id="68" w:name="_Hlt26670373"/>
      <w:bookmarkEnd w:id="68"/>
      <w:r>
        <w:rPr>
          <w:rFonts w:hint="eastAsia" w:ascii="宋体" w:hAnsi="宋体" w:cs="宋体"/>
          <w:szCs w:val="21"/>
        </w:rPr>
        <w:t>表</w:t>
      </w:r>
      <w:bookmarkEnd w:id="66"/>
    </w:p>
    <w:p>
      <w:pPr>
        <w:tabs>
          <w:tab w:val="left" w:pos="900"/>
        </w:tabs>
        <w:spacing w:line="360" w:lineRule="auto"/>
        <w:ind w:firstLine="420" w:firstLineChars="200"/>
        <w:rPr>
          <w:rFonts w:ascii="宋体" w:hAnsi="宋体" w:cs="宋体"/>
          <w:szCs w:val="21"/>
        </w:rPr>
      </w:pPr>
      <w:r>
        <w:rPr>
          <w:rFonts w:hint="eastAsia" w:ascii="宋体" w:hAnsi="宋体" w:cs="宋体"/>
          <w:szCs w:val="21"/>
        </w:rPr>
        <w:t>3.1磋商供应商应按照磋商文件规定格式填报磋商响应报价表（含分项报价）。每项产品或服务只允许有一个报价，任何有选择的报价将不予接受，磋商文件中另有规定的按规定执行。</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3.2标的物</w:t>
      </w:r>
    </w:p>
    <w:p>
      <w:pPr>
        <w:tabs>
          <w:tab w:val="left" w:pos="900"/>
        </w:tabs>
        <w:spacing w:line="360" w:lineRule="auto"/>
        <w:ind w:firstLine="420" w:firstLineChars="200"/>
        <w:rPr>
          <w:rFonts w:ascii="宋体" w:hAnsi="宋体" w:cs="宋体"/>
          <w:szCs w:val="21"/>
        </w:rPr>
      </w:pPr>
      <w:r>
        <w:rPr>
          <w:rFonts w:hint="eastAsia" w:ascii="宋体" w:hAnsi="宋体" w:cs="宋体"/>
          <w:szCs w:val="21"/>
        </w:rPr>
        <w:t>详见项目需求。</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3.3有关费用处理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本次采购磋商供应商的总报价应包括为完成本项目发生的所有费用，本磋商文件中另有规定的除外。</w:t>
      </w:r>
    </w:p>
    <w:p>
      <w:pPr>
        <w:tabs>
          <w:tab w:val="left" w:pos="900"/>
        </w:tabs>
        <w:spacing w:line="360" w:lineRule="auto"/>
        <w:ind w:firstLine="420" w:firstLineChars="200"/>
        <w:rPr>
          <w:rFonts w:ascii="宋体" w:hAnsi="宋体" w:cs="宋体"/>
          <w:szCs w:val="21"/>
        </w:rPr>
      </w:pPr>
      <w:r>
        <w:rPr>
          <w:rFonts w:hint="eastAsia" w:ascii="宋体" w:hAnsi="宋体" w:cs="宋体"/>
          <w:szCs w:val="21"/>
        </w:rPr>
        <w:t>供应商须响应文件中的所有货物及相关服务，且响应的货物及相关服务只能有一个报价，报价应包括为实施委托项目约定范围内所需的全部费用。</w:t>
      </w:r>
    </w:p>
    <w:p>
      <w:pPr>
        <w:tabs>
          <w:tab w:val="left" w:pos="900"/>
        </w:tabs>
        <w:spacing w:line="360" w:lineRule="auto"/>
        <w:ind w:firstLine="420" w:firstLineChars="200"/>
        <w:rPr>
          <w:rFonts w:ascii="宋体" w:hAnsi="宋体" w:cs="宋体"/>
          <w:szCs w:val="21"/>
        </w:rPr>
      </w:pPr>
      <w:r>
        <w:rPr>
          <w:rFonts w:hint="eastAsia" w:ascii="宋体" w:hAnsi="宋体" w:cs="宋体"/>
          <w:szCs w:val="21"/>
        </w:rPr>
        <w:t>磋商文件未列明，而磋商供应商认为必须的费用也须列入报价。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3.4 报价采用的货币</w:t>
      </w:r>
    </w:p>
    <w:p>
      <w:pPr>
        <w:tabs>
          <w:tab w:val="left" w:pos="900"/>
        </w:tabs>
        <w:spacing w:line="360" w:lineRule="auto"/>
        <w:ind w:firstLine="420" w:firstLineChars="200"/>
        <w:rPr>
          <w:rFonts w:ascii="宋体" w:hAnsi="宋体" w:cs="宋体"/>
          <w:szCs w:val="21"/>
        </w:rPr>
      </w:pPr>
      <w:r>
        <w:rPr>
          <w:rFonts w:hint="eastAsia" w:ascii="宋体" w:hAnsi="宋体" w:cs="宋体"/>
          <w:szCs w:val="21"/>
        </w:rPr>
        <w:t>响应文件中的单价和总价，无特殊规定的采用人民币报价，以元为单位标注。磋商文件中另有规定的按规定执行。</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3.5 磋商响应报价表上的价格应按磋商文件规定填写。</w:t>
      </w:r>
    </w:p>
    <w:p>
      <w:pPr>
        <w:tabs>
          <w:tab w:val="left" w:pos="900"/>
        </w:tabs>
        <w:spacing w:line="360" w:lineRule="auto"/>
        <w:ind w:firstLine="420" w:firstLineChars="200"/>
        <w:rPr>
          <w:rFonts w:ascii="宋体" w:hAnsi="宋体" w:cs="宋体"/>
          <w:szCs w:val="21"/>
        </w:rPr>
      </w:pPr>
      <w:bookmarkStart w:id="69" w:name="_Hlt26954739"/>
      <w:bookmarkEnd w:id="69"/>
      <w:bookmarkStart w:id="70" w:name="_Hlt26954844"/>
      <w:bookmarkEnd w:id="70"/>
      <w:bookmarkStart w:id="71" w:name="_Hlt26670489"/>
      <w:bookmarkEnd w:id="71"/>
      <w:bookmarkStart w:id="72" w:name="_Hlt26954731"/>
      <w:bookmarkEnd w:id="72"/>
      <w:bookmarkStart w:id="73" w:name="_Hlt26670493"/>
      <w:bookmarkEnd w:id="73"/>
      <w:bookmarkStart w:id="74" w:name="_Hlt26954848"/>
      <w:bookmarkEnd w:id="74"/>
      <w:bookmarkStart w:id="75" w:name="_Hlt26954850"/>
      <w:bookmarkEnd w:id="75"/>
      <w:bookmarkStart w:id="76" w:name="_Hlt26954734"/>
      <w:bookmarkEnd w:id="76"/>
      <w:bookmarkStart w:id="77" w:name="_Hlt26670482"/>
      <w:bookmarkEnd w:id="77"/>
      <w:bookmarkStart w:id="78" w:name="_Hlt26670486"/>
      <w:bookmarkEnd w:id="78"/>
      <w:bookmarkStart w:id="79" w:name="_Hlt26670425"/>
      <w:bookmarkEnd w:id="79"/>
      <w:bookmarkStart w:id="80" w:name="_Hlt26954842"/>
      <w:bookmarkEnd w:id="80"/>
      <w:bookmarkStart w:id="81" w:name="_Hlt26668983"/>
      <w:bookmarkEnd w:id="81"/>
      <w:bookmarkStart w:id="82" w:name="_Hlt26954852"/>
      <w:bookmarkEnd w:id="82"/>
      <w:bookmarkStart w:id="83" w:name="_Hlt26954846"/>
      <w:bookmarkEnd w:id="83"/>
      <w:bookmarkStart w:id="84" w:name="_Hlt26670403"/>
      <w:bookmarkEnd w:id="84"/>
      <w:bookmarkStart w:id="85" w:name="_Hlt26954749"/>
      <w:bookmarkEnd w:id="85"/>
      <w:bookmarkStart w:id="86" w:name="_Hlt26954854"/>
      <w:bookmarkEnd w:id="86"/>
      <w:bookmarkStart w:id="87" w:name="_Toc513029224"/>
      <w:bookmarkStart w:id="88" w:name="_Toc14577362"/>
      <w:bookmarkStart w:id="89" w:name="_Toc61149562"/>
      <w:r>
        <w:rPr>
          <w:rFonts w:hint="eastAsia" w:ascii="宋体" w:hAnsi="宋体" w:cs="宋体"/>
          <w:szCs w:val="21"/>
        </w:rPr>
        <w:t>4、磋商保证金：无</w:t>
      </w:r>
    </w:p>
    <w:p>
      <w:pPr>
        <w:tabs>
          <w:tab w:val="left" w:pos="900"/>
        </w:tabs>
        <w:spacing w:line="360" w:lineRule="auto"/>
        <w:ind w:firstLine="422" w:firstLineChars="200"/>
        <w:rPr>
          <w:rFonts w:ascii="宋体" w:hAnsi="宋体" w:cs="宋体"/>
          <w:b/>
          <w:szCs w:val="21"/>
        </w:rPr>
      </w:pPr>
      <w:r>
        <w:rPr>
          <w:rFonts w:hint="eastAsia" w:ascii="宋体" w:hAnsi="宋体" w:cs="宋体"/>
          <w:b/>
          <w:szCs w:val="21"/>
        </w:rPr>
        <w:t>三、响应文件的递交</w:t>
      </w:r>
      <w:bookmarkEnd w:id="87"/>
      <w:bookmarkEnd w:id="88"/>
      <w:bookmarkEnd w:id="89"/>
    </w:p>
    <w:p>
      <w:pPr>
        <w:tabs>
          <w:tab w:val="left" w:pos="900"/>
        </w:tabs>
        <w:spacing w:line="360" w:lineRule="auto"/>
        <w:ind w:firstLine="420" w:firstLineChars="200"/>
        <w:rPr>
          <w:rFonts w:ascii="宋体" w:hAnsi="宋体" w:cs="宋体"/>
          <w:szCs w:val="21"/>
        </w:rPr>
      </w:pPr>
      <w:bookmarkStart w:id="90" w:name="_Hlt26954856"/>
      <w:bookmarkEnd w:id="90"/>
      <w:bookmarkStart w:id="91" w:name="_Toc462564084"/>
      <w:bookmarkStart w:id="92" w:name="_Toc513029225"/>
      <w:bookmarkStart w:id="93" w:name="_Toc61149563"/>
      <w:bookmarkStart w:id="94" w:name="_Toc14577363"/>
      <w:r>
        <w:rPr>
          <w:rFonts w:hint="eastAsia" w:ascii="宋体" w:hAnsi="宋体" w:cs="宋体"/>
          <w:szCs w:val="21"/>
        </w:rPr>
        <w:t>1、首次响应文件</w:t>
      </w:r>
      <w:bookmarkStart w:id="95" w:name="_Hlt26954743"/>
      <w:bookmarkEnd w:id="95"/>
      <w:r>
        <w:rPr>
          <w:rFonts w:hint="eastAsia" w:ascii="宋体" w:hAnsi="宋体" w:cs="宋体"/>
          <w:szCs w:val="21"/>
        </w:rPr>
        <w:t>的密封和标记</w:t>
      </w:r>
      <w:bookmarkEnd w:id="91"/>
      <w:bookmarkEnd w:id="92"/>
      <w:bookmarkEnd w:id="93"/>
      <w:bookmarkEnd w:id="94"/>
    </w:p>
    <w:p>
      <w:pPr>
        <w:tabs>
          <w:tab w:val="left" w:pos="900"/>
        </w:tabs>
        <w:spacing w:line="360" w:lineRule="auto"/>
        <w:ind w:firstLine="420" w:firstLineChars="200"/>
        <w:rPr>
          <w:rFonts w:ascii="宋体" w:hAnsi="宋体" w:cs="宋体"/>
          <w:szCs w:val="21"/>
        </w:rPr>
      </w:pPr>
      <w:r>
        <w:rPr>
          <w:rFonts w:hint="eastAsia" w:ascii="宋体" w:hAnsi="宋体" w:cs="宋体"/>
          <w:szCs w:val="21"/>
        </w:rPr>
        <w:t>1.1首次响应文件的正本和副本应用不易破损的信封密封，封口加盖供应商公章。</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1.2密封的首次响应文件应：</w:t>
      </w:r>
    </w:p>
    <w:p>
      <w:pPr>
        <w:numPr>
          <w:ilvl w:val="0"/>
          <w:numId w:val="8"/>
        </w:numPr>
        <w:tabs>
          <w:tab w:val="left" w:pos="900"/>
        </w:tabs>
        <w:spacing w:line="360" w:lineRule="auto"/>
        <w:ind w:firstLine="420" w:firstLineChars="200"/>
        <w:rPr>
          <w:rFonts w:ascii="宋体" w:hAnsi="宋体" w:cs="宋体"/>
          <w:szCs w:val="21"/>
        </w:rPr>
      </w:pPr>
      <w:r>
        <w:rPr>
          <w:rFonts w:hint="eastAsia" w:ascii="宋体" w:hAnsi="宋体" w:cs="宋体"/>
          <w:szCs w:val="21"/>
        </w:rPr>
        <w:t>按竞争性磋商公告中注明的地址送达规定地点；</w:t>
      </w:r>
    </w:p>
    <w:p>
      <w:pPr>
        <w:numPr>
          <w:ilvl w:val="0"/>
          <w:numId w:val="8"/>
        </w:numPr>
        <w:tabs>
          <w:tab w:val="left" w:pos="900"/>
        </w:tabs>
        <w:spacing w:line="360" w:lineRule="auto"/>
        <w:ind w:firstLine="420" w:firstLineChars="200"/>
        <w:rPr>
          <w:rFonts w:ascii="宋体" w:hAnsi="宋体" w:cs="宋体"/>
          <w:szCs w:val="21"/>
        </w:rPr>
      </w:pPr>
      <w:r>
        <w:rPr>
          <w:rFonts w:hint="eastAsia" w:ascii="宋体" w:hAnsi="宋体" w:cs="宋体"/>
          <w:szCs w:val="21"/>
        </w:rPr>
        <w:t>注明参加磋商项目名称、磋商文件编号；</w:t>
      </w:r>
    </w:p>
    <w:p>
      <w:pPr>
        <w:numPr>
          <w:ilvl w:val="0"/>
          <w:numId w:val="8"/>
        </w:numPr>
        <w:tabs>
          <w:tab w:val="left" w:pos="900"/>
        </w:tabs>
        <w:spacing w:line="360" w:lineRule="auto"/>
        <w:ind w:firstLine="420" w:firstLineChars="200"/>
        <w:rPr>
          <w:rFonts w:ascii="宋体" w:hAnsi="宋体" w:cs="宋体"/>
          <w:szCs w:val="21"/>
        </w:rPr>
      </w:pPr>
      <w:r>
        <w:rPr>
          <w:rFonts w:hint="eastAsia" w:ascii="宋体" w:hAnsi="宋体" w:cs="宋体"/>
          <w:szCs w:val="21"/>
        </w:rPr>
        <w:t>密封包装上应写明磋商供应商名称。</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1.3由磋商供应商或其推选的代表检查响应文件密封情况。如果密封包装未按要求密封和加写标记，代理机构对误投或过早启封概不负责。对由此造成提前开封的响应文件，代理机构将予以拒绝，作无效响应处理。</w:t>
      </w:r>
    </w:p>
    <w:p>
      <w:pPr>
        <w:tabs>
          <w:tab w:val="left" w:pos="900"/>
        </w:tabs>
        <w:spacing w:line="360" w:lineRule="auto"/>
        <w:ind w:firstLine="420" w:firstLineChars="200"/>
        <w:rPr>
          <w:rFonts w:ascii="宋体" w:hAnsi="宋体" w:cs="宋体"/>
          <w:szCs w:val="21"/>
        </w:rPr>
      </w:pPr>
      <w:bookmarkStart w:id="96" w:name="_Hlt26954752"/>
      <w:bookmarkEnd w:id="96"/>
      <w:bookmarkStart w:id="97" w:name="_Hlt26954858"/>
      <w:bookmarkEnd w:id="97"/>
      <w:bookmarkStart w:id="98" w:name="_Hlt26670496"/>
      <w:bookmarkEnd w:id="98"/>
      <w:bookmarkStart w:id="99" w:name="_Toc513029226"/>
      <w:bookmarkStart w:id="100" w:name="_Toc14577364"/>
      <w:bookmarkStart w:id="101" w:name="_Toc61149564"/>
      <w:r>
        <w:rPr>
          <w:rFonts w:hint="eastAsia" w:ascii="宋体" w:hAnsi="宋体" w:cs="宋体"/>
          <w:szCs w:val="21"/>
        </w:rPr>
        <w:t>2、</w:t>
      </w:r>
      <w:bookmarkEnd w:id="99"/>
      <w:bookmarkEnd w:id="100"/>
      <w:bookmarkEnd w:id="101"/>
      <w:r>
        <w:rPr>
          <w:rFonts w:hint="eastAsia" w:ascii="宋体" w:hAnsi="宋体" w:cs="宋体"/>
          <w:szCs w:val="21"/>
        </w:rPr>
        <w:t>响应文件开启时间</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2.1代理机构收到响应文件的时间不得迟于本磋商文件规定的响应文件提交截止时间。</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2.2代理机构可通过修改磋商文件自行决定酌情推迟响应文件接收截止时间，在此情况下，磋商供应商的所有权利和义务以及受制的响应文件接收截止时间均应以延长后新的响应文件接收截止时间为准。</w:t>
      </w:r>
    </w:p>
    <w:p>
      <w:pPr>
        <w:tabs>
          <w:tab w:val="left" w:pos="900"/>
        </w:tabs>
        <w:spacing w:line="360" w:lineRule="auto"/>
        <w:ind w:firstLine="420" w:firstLineChars="200"/>
        <w:rPr>
          <w:rFonts w:ascii="宋体" w:hAnsi="宋体" w:cs="宋体"/>
          <w:szCs w:val="21"/>
        </w:rPr>
      </w:pPr>
      <w:bookmarkStart w:id="102" w:name="_Hlt26954860"/>
      <w:bookmarkEnd w:id="102"/>
      <w:bookmarkStart w:id="103" w:name="_Toc14577365"/>
      <w:bookmarkStart w:id="104" w:name="_Toc61149565"/>
      <w:bookmarkStart w:id="105" w:name="_Toc513029227"/>
      <w:r>
        <w:rPr>
          <w:rFonts w:hint="eastAsia" w:ascii="宋体" w:hAnsi="宋体" w:cs="宋体"/>
          <w:szCs w:val="21"/>
        </w:rPr>
        <w:t>3、迟交的响应文件</w:t>
      </w:r>
      <w:bookmarkEnd w:id="103"/>
      <w:bookmarkEnd w:id="104"/>
      <w:bookmarkEnd w:id="105"/>
    </w:p>
    <w:p>
      <w:pPr>
        <w:tabs>
          <w:tab w:val="left" w:pos="900"/>
        </w:tabs>
        <w:spacing w:line="360" w:lineRule="auto"/>
        <w:ind w:firstLine="420" w:firstLineChars="200"/>
        <w:rPr>
          <w:rFonts w:ascii="宋体" w:hAnsi="宋体" w:cs="宋体"/>
          <w:szCs w:val="21"/>
        </w:rPr>
      </w:pPr>
      <w:r>
        <w:rPr>
          <w:rFonts w:hint="eastAsia" w:ascii="宋体" w:hAnsi="宋体" w:cs="宋体"/>
          <w:szCs w:val="21"/>
        </w:rPr>
        <w:t>3.1代理机构将拒绝在规定的响应文件接收截止时间后接收任何响应文件。</w:t>
      </w:r>
    </w:p>
    <w:p>
      <w:pPr>
        <w:tabs>
          <w:tab w:val="left" w:pos="900"/>
        </w:tabs>
        <w:spacing w:line="360" w:lineRule="auto"/>
        <w:ind w:firstLine="420" w:firstLineChars="200"/>
        <w:rPr>
          <w:rFonts w:ascii="宋体" w:hAnsi="宋体" w:cs="宋体"/>
          <w:szCs w:val="21"/>
        </w:rPr>
      </w:pPr>
      <w:bookmarkStart w:id="106" w:name="_Hlt26954754"/>
      <w:bookmarkEnd w:id="106"/>
      <w:bookmarkStart w:id="107" w:name="_Hlt26954862"/>
      <w:bookmarkEnd w:id="107"/>
      <w:bookmarkStart w:id="108" w:name="_Toc513029228"/>
      <w:bookmarkStart w:id="109" w:name="_Toc61149566"/>
      <w:bookmarkStart w:id="110" w:name="_Toc14577366"/>
      <w:r>
        <w:rPr>
          <w:rFonts w:hint="eastAsia" w:ascii="宋体" w:hAnsi="宋体" w:cs="宋体"/>
          <w:szCs w:val="21"/>
        </w:rPr>
        <w:t>4、响应文件</w:t>
      </w:r>
      <w:bookmarkStart w:id="111" w:name="_Hlt26670588"/>
      <w:r>
        <w:rPr>
          <w:rFonts w:hint="eastAsia" w:ascii="宋体" w:hAnsi="宋体" w:cs="宋体"/>
          <w:szCs w:val="21"/>
        </w:rPr>
        <w:t>的修改</w:t>
      </w:r>
      <w:bookmarkEnd w:id="111"/>
      <w:r>
        <w:rPr>
          <w:rFonts w:hint="eastAsia" w:ascii="宋体" w:hAnsi="宋体" w:cs="宋体"/>
          <w:szCs w:val="21"/>
        </w:rPr>
        <w:t>和撤回</w:t>
      </w:r>
      <w:bookmarkEnd w:id="108"/>
      <w:bookmarkEnd w:id="109"/>
      <w:bookmarkEnd w:id="110"/>
    </w:p>
    <w:p>
      <w:pPr>
        <w:tabs>
          <w:tab w:val="left" w:pos="900"/>
        </w:tabs>
        <w:spacing w:line="360" w:lineRule="auto"/>
        <w:ind w:firstLine="420" w:firstLineChars="200"/>
        <w:rPr>
          <w:rFonts w:ascii="宋体" w:hAnsi="宋体" w:cs="宋体"/>
          <w:szCs w:val="21"/>
        </w:rPr>
      </w:pPr>
      <w:r>
        <w:rPr>
          <w:rFonts w:hint="eastAsia" w:ascii="宋体" w:hAnsi="宋体" w:cs="宋体"/>
          <w:szCs w:val="21"/>
        </w:rPr>
        <w:t>4.1磋商供应商在递交响应文件后，可以修改或撤回其磋商响应文件，但这种修改和撤回，必须在规定的响应文件提交截止时间前，以书面形式送达指定地点。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4.2磋商供应商的修改或撤回通知书，应按本文件规定进行编制、密封、标记和发送，并应在封套上加注“修改”和“撤回”字样。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5、磋商响应有效期</w:t>
      </w:r>
    </w:p>
    <w:p>
      <w:pPr>
        <w:tabs>
          <w:tab w:val="left" w:pos="900"/>
        </w:tabs>
        <w:spacing w:line="360" w:lineRule="auto"/>
        <w:ind w:firstLine="422" w:firstLineChars="200"/>
        <w:rPr>
          <w:rFonts w:ascii="宋体" w:hAnsi="宋体" w:cs="宋体"/>
          <w:szCs w:val="21"/>
        </w:rPr>
      </w:pPr>
      <w:r>
        <w:rPr>
          <w:rFonts w:hint="eastAsia" w:ascii="宋体" w:hAnsi="宋体" w:cs="宋体"/>
          <w:b/>
          <w:bCs/>
          <w:szCs w:val="21"/>
        </w:rPr>
        <w:t>5.1 磋商响应有效期为代理机构规定的响应文件提交截止时间后九十（90）天。</w:t>
      </w:r>
      <w:r>
        <w:rPr>
          <w:rFonts w:hint="eastAsia" w:ascii="宋体" w:hAnsi="宋体" w:cs="宋体"/>
          <w:szCs w:val="21"/>
        </w:rPr>
        <w:t>供应商声明的磋商响应有效期比规定短的将被视为非实质性响应而予以拒绝；供应商就磋商响应有效期不做说明的视同认可本条款设定的磋商响应有效期。</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5.2 在特殊情况下，代理机构于原磋商响应有效期满之前，可向磋商供应商提出延长磋商响应有效期的要求。</w:t>
      </w:r>
    </w:p>
    <w:p>
      <w:pPr>
        <w:tabs>
          <w:tab w:val="left" w:pos="900"/>
        </w:tabs>
        <w:spacing w:line="360" w:lineRule="auto"/>
        <w:ind w:firstLine="422" w:firstLineChars="200"/>
        <w:rPr>
          <w:rFonts w:ascii="宋体" w:hAnsi="宋体" w:cs="宋体"/>
          <w:b/>
          <w:szCs w:val="21"/>
        </w:rPr>
      </w:pPr>
      <w:bookmarkStart w:id="112" w:name="_Hlt26670523"/>
      <w:bookmarkEnd w:id="112"/>
      <w:bookmarkStart w:id="113" w:name="_Hlt26954864"/>
      <w:bookmarkEnd w:id="113"/>
      <w:r>
        <w:rPr>
          <w:rFonts w:hint="eastAsia" w:ascii="宋体" w:hAnsi="宋体" w:cs="宋体"/>
          <w:b/>
          <w:szCs w:val="21"/>
        </w:rPr>
        <w:t>四、磋商与评审</w:t>
      </w:r>
    </w:p>
    <w:p>
      <w:pPr>
        <w:tabs>
          <w:tab w:val="left" w:pos="900"/>
        </w:tabs>
        <w:spacing w:line="360" w:lineRule="auto"/>
        <w:ind w:firstLine="420" w:firstLineChars="200"/>
        <w:rPr>
          <w:rFonts w:ascii="宋体" w:hAnsi="宋体" w:cs="宋体"/>
          <w:szCs w:val="21"/>
        </w:rPr>
      </w:pPr>
      <w:bookmarkStart w:id="114" w:name="_Toc16938546"/>
      <w:bookmarkStart w:id="115" w:name="_Toc513029230"/>
      <w:bookmarkStart w:id="116" w:name="_Toc20823302"/>
      <w:r>
        <w:rPr>
          <w:rFonts w:hint="eastAsia" w:ascii="宋体" w:hAnsi="宋体" w:cs="宋体"/>
          <w:szCs w:val="21"/>
        </w:rPr>
        <w:t>1、</w:t>
      </w:r>
      <w:bookmarkEnd w:id="114"/>
      <w:bookmarkEnd w:id="115"/>
      <w:bookmarkEnd w:id="116"/>
      <w:r>
        <w:rPr>
          <w:rFonts w:hint="eastAsia" w:ascii="宋体" w:hAnsi="宋体" w:cs="宋体"/>
          <w:szCs w:val="21"/>
        </w:rPr>
        <w:t>磋商会议</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1.1</w:t>
      </w:r>
      <w:bookmarkStart w:id="117" w:name="_Toc513029231"/>
      <w:bookmarkStart w:id="118" w:name="_Toc16938547"/>
      <w:bookmarkStart w:id="119" w:name="_Toc20823303"/>
      <w:r>
        <w:rPr>
          <w:rFonts w:hint="eastAsia" w:ascii="宋体" w:hAnsi="宋体" w:cs="宋体"/>
          <w:szCs w:val="21"/>
        </w:rPr>
        <w:t>在响应文件递交时间截止后，代理机构组织磋商会议，并当众公布参加磋商供应商的数量和名单，宣读内容不涉及磋商价格。供应商法定代表人（负责人）或其授权代表须携带本人身份证参加磋商开标会议。　</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2、磋商小组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2.1 磋商会议结束后，代理机构将组织磋商小组进行评审。</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2.2代理机构及采购人将根据本采购项目的特点组建磋商小组，由三人以上（含三人）单数组成，将对实质性响应报价文件要求的报价文件进行评价和比较，并采用相同的程序和标准。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3、磋商评审过程的保密</w:t>
      </w:r>
      <w:bookmarkEnd w:id="117"/>
      <w:bookmarkEnd w:id="118"/>
      <w:bookmarkEnd w:id="119"/>
      <w:r>
        <w:rPr>
          <w:rFonts w:hint="eastAsia" w:ascii="宋体" w:hAnsi="宋体" w:cs="宋体"/>
          <w:szCs w:val="21"/>
        </w:rPr>
        <w:t>与公正</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3.1磋商小组、采购人和代理机构工作人员、相关监督人员等与评审工作有关的人员，对评审情况以及在评审过程中获悉的国家秘密、商业秘密负有保密责任。</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3.2在磋商评审过程中，磋商供应商不得以任何行为影响磋商评审过程，否则其响应文件将被作为无效响应文件。</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360" w:lineRule="auto"/>
        <w:ind w:firstLine="420" w:firstLineChars="200"/>
        <w:rPr>
          <w:rFonts w:ascii="宋体" w:hAnsi="宋体" w:cs="宋体"/>
          <w:szCs w:val="21"/>
        </w:rPr>
      </w:pPr>
      <w:bookmarkStart w:id="120" w:name="_Toc16938548"/>
      <w:bookmarkStart w:id="121" w:name="_Toc20823304"/>
      <w:bookmarkStart w:id="122" w:name="_Toc513029232"/>
      <w:r>
        <w:rPr>
          <w:rFonts w:hint="eastAsia" w:ascii="宋体" w:hAnsi="宋体" w:cs="宋体"/>
          <w:szCs w:val="21"/>
        </w:rPr>
        <w:t>4、评审过程的澄清</w:t>
      </w:r>
      <w:bookmarkEnd w:id="120"/>
      <w:bookmarkEnd w:id="121"/>
      <w:bookmarkEnd w:id="122"/>
      <w:r>
        <w:rPr>
          <w:rFonts w:hint="eastAsia" w:ascii="宋体" w:hAnsi="宋体" w:cs="宋体"/>
          <w:szCs w:val="21"/>
        </w:rPr>
        <w:t>、说明和更正</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4.2接到磋商小组要求的供应商应派人按磋商小组通知的时间和地点做出书面澄清、说明或更正。供应商的澄清、说明或者更正应当由法定代表人（负责人）或其授权代表签字或者加盖公章。供应商为自然人的，应当由本人签字并附身份证明，原件评审现场出示。</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4.3 接到磋商小组澄清要求的供应商如未按规定做出澄清，其风险由供应商自行承担。</w:t>
      </w:r>
    </w:p>
    <w:p>
      <w:pPr>
        <w:tabs>
          <w:tab w:val="left" w:pos="900"/>
        </w:tabs>
        <w:spacing w:line="360" w:lineRule="auto"/>
        <w:ind w:firstLine="420" w:firstLineChars="200"/>
        <w:rPr>
          <w:rFonts w:ascii="宋体" w:hAnsi="宋体" w:cs="宋体"/>
          <w:szCs w:val="21"/>
        </w:rPr>
      </w:pPr>
      <w:bookmarkStart w:id="123" w:name="_Toc513029233"/>
      <w:bookmarkStart w:id="124" w:name="_Toc20823305"/>
      <w:bookmarkStart w:id="125" w:name="_Toc16938549"/>
      <w:r>
        <w:rPr>
          <w:rFonts w:hint="eastAsia" w:ascii="宋体" w:hAnsi="宋体" w:cs="宋体"/>
          <w:szCs w:val="21"/>
        </w:rPr>
        <w:t>5、对首次响应文件的初审</w:t>
      </w:r>
      <w:bookmarkEnd w:id="123"/>
      <w:bookmarkEnd w:id="124"/>
      <w:bookmarkEnd w:id="125"/>
    </w:p>
    <w:p>
      <w:pPr>
        <w:tabs>
          <w:tab w:val="left" w:pos="900"/>
        </w:tabs>
        <w:spacing w:line="360" w:lineRule="auto"/>
        <w:ind w:firstLine="420" w:firstLineChars="200"/>
        <w:rPr>
          <w:rFonts w:ascii="宋体" w:hAnsi="宋体" w:cs="宋体"/>
          <w:szCs w:val="21"/>
        </w:rPr>
      </w:pPr>
      <w:r>
        <w:rPr>
          <w:rFonts w:hint="eastAsia" w:ascii="宋体" w:hAnsi="宋体" w:cs="宋体"/>
          <w:szCs w:val="21"/>
        </w:rPr>
        <w:t>5.1首次响应文件初审分为资格性检查和符合性检查。</w:t>
      </w:r>
    </w:p>
    <w:p>
      <w:pPr>
        <w:tabs>
          <w:tab w:val="left" w:pos="900"/>
        </w:tabs>
        <w:spacing w:line="360" w:lineRule="auto"/>
        <w:ind w:firstLine="420" w:firstLineChars="200"/>
        <w:rPr>
          <w:rFonts w:ascii="宋体" w:hAnsi="宋体" w:cs="宋体"/>
          <w:szCs w:val="21"/>
        </w:rPr>
      </w:pPr>
      <w:r>
        <w:rPr>
          <w:rFonts w:hint="eastAsia" w:ascii="宋体" w:hAnsi="宋体" w:cs="宋体"/>
          <w:szCs w:val="21"/>
        </w:rPr>
        <w:t>资格性检查：依据法律法规和磋商文件的规定，对首次响应文件中的资格证明文件提交情况等进行审查，以确定供应商是否具备参加磋商的资格。</w:t>
      </w:r>
    </w:p>
    <w:p>
      <w:pPr>
        <w:tabs>
          <w:tab w:val="left" w:pos="900"/>
        </w:tabs>
        <w:spacing w:line="360" w:lineRule="auto"/>
        <w:ind w:firstLine="420" w:firstLineChars="200"/>
        <w:rPr>
          <w:rFonts w:ascii="宋体" w:hAnsi="宋体" w:cs="宋体"/>
          <w:szCs w:val="21"/>
        </w:rPr>
      </w:pPr>
      <w:r>
        <w:rPr>
          <w:rFonts w:hint="eastAsia" w:ascii="宋体" w:hAnsi="宋体" w:cs="宋体"/>
          <w:szCs w:val="21"/>
        </w:rPr>
        <w:t>符合性检查：依据磋商文件的规定，从响应文件的有效性、完整性和对磋商文件的响应程度进行审查，以确定是否对磋商文件的实质性要求作出响应。</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5.2在正式磋商之前，磋商小组将首先审查每份响应文件是否实质性响应了磋商文件的要求。实质性响应的响应文件应该是与磋商文件要求的条款、条件和规格相符，没有重大负偏离或保留。</w:t>
      </w:r>
    </w:p>
    <w:p>
      <w:pPr>
        <w:tabs>
          <w:tab w:val="left" w:pos="900"/>
        </w:tabs>
        <w:spacing w:line="360" w:lineRule="auto"/>
        <w:ind w:firstLine="420" w:firstLineChars="200"/>
        <w:rPr>
          <w:rFonts w:ascii="宋体" w:hAnsi="宋体" w:cs="宋体"/>
          <w:szCs w:val="21"/>
        </w:rPr>
      </w:pPr>
      <w:r>
        <w:rPr>
          <w:rFonts w:hint="eastAsia" w:ascii="宋体" w:hAnsi="宋体" w:cs="宋体"/>
          <w:szCs w:val="21"/>
        </w:rPr>
        <w:t>所谓重大负偏离或保留是指与磋商文件规定的实质性要求存在负偏离，或者在实质上与磋商文件不一致，而且限制了合同中采购人的权利或供应商的义务，纠正这些偏离或保留将会对其他实质性响应要求的供应商的竞争地位产生不公正的影响。重大负偏离的认定需经过磋商小组的认定。</w:t>
      </w:r>
      <w:r>
        <w:rPr>
          <w:rFonts w:hint="eastAsia" w:ascii="宋体" w:hAnsi="宋体" w:cs="宋体"/>
          <w:b/>
          <w:bCs/>
          <w:szCs w:val="21"/>
        </w:rPr>
        <w:t>磋商小组决定响应文件的响应性只根据响应文件本身的内容，而不寻求外部的证据。</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5.3 被认定为非响应性的响应文件的情形</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（1）未按照磋商文件规定要求密封、签署、盖章的；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（2）供应商在报价时采用选择性报价；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（3）供应商不具备磋商文件中规定资格要求的；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（4）不符合法律、法规和磋商文件中规定的其他实质性要求和条件的；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（5）经磋商小组认定为非实质性响应文件的；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（6）其他法律、法规及本磋商文件规定的属非响应性的响应文件的情形。</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5.4 如果响应文件实质上没有响应磋商文件的要求，磋商小组将予以拒绝，供应商不得通过修改或撤销不合要求的偏离或保留而使其响应文件成为实质性响应的文件。</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5.5 磋商小组将允许修正响应文件中不构成重大负偏离的、微小的、非正规的、不一致的或不规则的地方，但这些修改不能影响任何供应商相应的名次排列。</w:t>
      </w:r>
    </w:p>
    <w:p>
      <w:pPr>
        <w:tabs>
          <w:tab w:val="left" w:pos="900"/>
        </w:tabs>
        <w:spacing w:line="360" w:lineRule="auto"/>
        <w:ind w:firstLine="420" w:firstLineChars="200"/>
        <w:rPr>
          <w:rFonts w:ascii="宋体" w:hAnsi="宋体" w:cs="宋体"/>
          <w:szCs w:val="21"/>
        </w:rPr>
      </w:pPr>
      <w:bookmarkStart w:id="126" w:name="_Toc513029234"/>
      <w:bookmarkStart w:id="127" w:name="_Toc20823306"/>
      <w:bookmarkStart w:id="128" w:name="_Toc16938550"/>
      <w:r>
        <w:rPr>
          <w:rFonts w:hint="eastAsia" w:ascii="宋体" w:hAnsi="宋体" w:cs="宋体"/>
          <w:szCs w:val="21"/>
        </w:rPr>
        <w:t>6、</w:t>
      </w:r>
      <w:bookmarkEnd w:id="126"/>
      <w:bookmarkEnd w:id="127"/>
      <w:bookmarkEnd w:id="128"/>
      <w:r>
        <w:rPr>
          <w:rFonts w:hint="eastAsia" w:ascii="宋体" w:hAnsi="宋体" w:cs="宋体"/>
          <w:szCs w:val="21"/>
        </w:rPr>
        <w:t>磋商程序及评审方法和标准</w:t>
      </w:r>
    </w:p>
    <w:p>
      <w:pPr>
        <w:tabs>
          <w:tab w:val="left" w:pos="900"/>
        </w:tabs>
        <w:spacing w:line="360" w:lineRule="auto"/>
        <w:ind w:firstLine="420" w:firstLineChars="200"/>
        <w:rPr>
          <w:rFonts w:ascii="宋体" w:hAnsi="宋体" w:cs="宋体"/>
          <w:szCs w:val="21"/>
        </w:rPr>
      </w:pPr>
      <w:bookmarkStart w:id="129" w:name="_Toc513029235"/>
      <w:bookmarkStart w:id="130" w:name="_Toc16938551"/>
      <w:bookmarkStart w:id="131" w:name="_Toc20823307"/>
      <w:r>
        <w:rPr>
          <w:rFonts w:hint="eastAsia" w:ascii="宋体" w:hAnsi="宋体" w:cs="宋体"/>
          <w:szCs w:val="21"/>
        </w:rPr>
        <w:t>6.1磋商程序</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6.1.1 对于通过资格性和符合性审查的供应商，磋商小组将随机确定磋商供应商的磋商顺序，然后由磋商小组所有成员集中与单一供应商分别进行磋商。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在磋商过程中，磋商小组可能根据磋商文件和磋商情况实质性变动的内容有：采购需求中的技术、服务要求以及合同草案条款。对磋商文件作出的实质性变动是磋商文件的有效组成部分，经采购人代表确认后，磋商小组将以书面形式通知所有参加磋商的供应商。供应商应当按照磋商文件的变动情况和磋商小组的要求重新提交响应文件，并由其法定代表人或授权代表签字或者加盖公章。根据需要，磋商小组可以自主决定磋商轮次，直至与三家或以上供应商达成采购人认可的磋商意见。</w:t>
      </w:r>
    </w:p>
    <w:p>
      <w:pPr>
        <w:tabs>
          <w:tab w:val="left" w:pos="900"/>
        </w:tabs>
        <w:spacing w:line="360" w:lineRule="auto"/>
        <w:ind w:firstLine="420" w:firstLineChars="200"/>
        <w:rPr>
          <w:rFonts w:ascii="宋体" w:hAnsi="宋体" w:cs="宋体"/>
          <w:szCs w:val="21"/>
        </w:rPr>
      </w:pPr>
      <w:r>
        <w:rPr>
          <w:rFonts w:hint="eastAsia" w:ascii="宋体" w:hAnsi="宋体" w:cs="宋体"/>
          <w:szCs w:val="21"/>
        </w:rPr>
        <w:t xml:space="preserve"> 6.1.2 磋商文件能够详细列明采购标的的技术、服务要求的，磋商结束后，磋商小组将要求所有实质性响应的供应商在规定时间内提交最后报价。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磋商文件不能详细列明采购标的的技术、服务要求，需经磋商,由供应商提供最终设计方案或解决方案的，磋商结束后，磋商小组将按照少数服从多数的原则投票推荐3家以上(和3家)供应商的设计方案或者解决方案，并要求其在规定时间内提交最后报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 xml:space="preserve">最后报价是供应商响应文件的有效组成部分。 </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6.1.3 磋商供应商未在磋商小组规定的时间内完成最后报价的视为放弃磋商，其磋商响应按无效响应处理。最后报价须由磋商供应商法定代表人或授权代表签字或者加盖公章。</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6.2 评审方法和标准</w:t>
      </w:r>
    </w:p>
    <w:p>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6.2.1评审方法。经磋商确定最终采购需求和提交报价的供应商后，由磋商小组采用综合评分法对提交最后报价的供应商的响应文件和最终报价进行综合评分。</w:t>
      </w:r>
    </w:p>
    <w:p>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6.2.2评审标准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见本磋商文件第五章规定。</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6.3采购活动终止的情况</w:t>
      </w:r>
    </w:p>
    <w:p>
      <w:pPr>
        <w:tabs>
          <w:tab w:val="left" w:pos="900"/>
        </w:tabs>
        <w:spacing w:line="360" w:lineRule="auto"/>
        <w:ind w:firstLine="420" w:firstLineChars="200"/>
        <w:rPr>
          <w:rFonts w:ascii="宋体" w:hAnsi="宋体" w:cs="宋体"/>
          <w:szCs w:val="21"/>
        </w:rPr>
      </w:pPr>
      <w:r>
        <w:rPr>
          <w:rFonts w:hint="eastAsia" w:ascii="宋体" w:hAnsi="宋体" w:cs="宋体"/>
          <w:szCs w:val="21"/>
        </w:rPr>
        <w:t>出现下列情形之一的，本次竞争性磋商采购活动将被终止：</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（3）除本磋商文件第6.1.2条第三款规定的情形外，在采购过程中符合要求的供应商或者报价未超过采购预算的供应商不足3家的。</w:t>
      </w:r>
    </w:p>
    <w:bookmarkEnd w:id="129"/>
    <w:bookmarkEnd w:id="130"/>
    <w:bookmarkEnd w:id="131"/>
    <w:p>
      <w:pPr>
        <w:tabs>
          <w:tab w:val="left" w:pos="900"/>
        </w:tabs>
        <w:spacing w:line="360" w:lineRule="auto"/>
        <w:ind w:firstLine="422" w:firstLineChars="200"/>
        <w:rPr>
          <w:rFonts w:ascii="宋体" w:hAnsi="宋体" w:cs="宋体"/>
          <w:b/>
          <w:szCs w:val="21"/>
        </w:rPr>
      </w:pPr>
      <w:r>
        <w:rPr>
          <w:rFonts w:hint="eastAsia" w:ascii="宋体" w:hAnsi="宋体" w:cs="宋体"/>
          <w:b/>
          <w:szCs w:val="21"/>
        </w:rPr>
        <w:t>五、成交</w:t>
      </w:r>
    </w:p>
    <w:p>
      <w:pPr>
        <w:tabs>
          <w:tab w:val="left" w:pos="900"/>
        </w:tabs>
        <w:spacing w:line="360" w:lineRule="auto"/>
        <w:ind w:firstLine="420" w:firstLineChars="200"/>
        <w:rPr>
          <w:rFonts w:ascii="宋体" w:hAnsi="宋体" w:cs="宋体"/>
          <w:szCs w:val="21"/>
        </w:rPr>
      </w:pPr>
      <w:bookmarkStart w:id="132" w:name="_Toc513029238"/>
      <w:bookmarkStart w:id="133" w:name="_Toc20823310"/>
      <w:bookmarkStart w:id="134" w:name="_Toc16938554"/>
      <w:r>
        <w:rPr>
          <w:rFonts w:hint="eastAsia" w:ascii="宋体" w:hAnsi="宋体" w:cs="宋体"/>
          <w:szCs w:val="21"/>
        </w:rPr>
        <w:t>1、</w:t>
      </w:r>
      <w:bookmarkEnd w:id="132"/>
      <w:r>
        <w:rPr>
          <w:rFonts w:hint="eastAsia" w:ascii="宋体" w:hAnsi="宋体" w:cs="宋体"/>
          <w:szCs w:val="21"/>
        </w:rPr>
        <w:t>确定</w:t>
      </w:r>
      <w:bookmarkEnd w:id="133"/>
      <w:bookmarkEnd w:id="134"/>
      <w:r>
        <w:rPr>
          <w:rFonts w:hint="eastAsia" w:ascii="宋体" w:hAnsi="宋体" w:cs="宋体"/>
          <w:szCs w:val="21"/>
        </w:rPr>
        <w:t>成交单位</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1.1 磋商小组根据综合评分情况，按照评审得分由高到低顺序推荐3名成交候选供应商，并编写评审报告。评审得分相同的，按照最后报价由低到高的顺序推荐。评审得分且最后报价相同的，按照技术指标优劣顺序推荐。</w:t>
      </w:r>
    </w:p>
    <w:p>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1.2采购人根据磋商小组推荐的成交候选人报告依法按照得分最高原则确定1名成交供应商。采购人确定成交供应商后，代理机构将向成交供应商发出成交通知书。</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2、质疑处理</w:t>
      </w:r>
    </w:p>
    <w:p>
      <w:pPr>
        <w:pStyle w:val="25"/>
        <w:spacing w:before="0" w:beforeAutospacing="0" w:after="0" w:afterAutospacing="0" w:line="360" w:lineRule="auto"/>
        <w:ind w:firstLine="420" w:firstLineChars="200"/>
        <w:rPr>
          <w:sz w:val="21"/>
          <w:szCs w:val="21"/>
        </w:rPr>
      </w:pPr>
      <w:bookmarkStart w:id="135" w:name="_Toc20823309"/>
      <w:bookmarkStart w:id="136" w:name="_Toc513029237"/>
      <w:bookmarkStart w:id="137" w:name="_Toc16938553"/>
      <w:r>
        <w:rPr>
          <w:rFonts w:hint="eastAsia"/>
          <w:sz w:val="21"/>
          <w:szCs w:val="21"/>
        </w:rPr>
        <w:t>2.1供应商对采购活动事项有疑问的，可以向代理机构提出询问，代理机构将及时作出答复，但答复的内容不涉及商业秘密。</w:t>
      </w:r>
    </w:p>
    <w:p>
      <w:pPr>
        <w:pStyle w:val="25"/>
        <w:spacing w:before="0" w:beforeAutospacing="0" w:after="0" w:afterAutospacing="0" w:line="360" w:lineRule="auto"/>
        <w:ind w:firstLine="420" w:firstLineChars="200"/>
        <w:rPr>
          <w:sz w:val="21"/>
          <w:szCs w:val="21"/>
        </w:rPr>
      </w:pPr>
      <w:r>
        <w:rPr>
          <w:rFonts w:hint="eastAsia"/>
          <w:sz w:val="21"/>
          <w:szCs w:val="21"/>
        </w:rPr>
        <w:t>2.2供应商认为采购过程和成交结果使自己的合法权益受到损害的，在规定时间内以书面形式向代理机构提出质疑，但需对质疑内容的真实性承担责任。</w:t>
      </w:r>
    </w:p>
    <w:p>
      <w:pPr>
        <w:tabs>
          <w:tab w:val="left" w:pos="900"/>
        </w:tabs>
        <w:spacing w:line="360" w:lineRule="auto"/>
        <w:ind w:firstLine="422" w:firstLineChars="200"/>
        <w:rPr>
          <w:rFonts w:ascii="宋体" w:hAnsi="宋体" w:cs="宋体"/>
          <w:b/>
          <w:szCs w:val="21"/>
        </w:rPr>
      </w:pPr>
      <w:r>
        <w:rPr>
          <w:rFonts w:hint="eastAsia" w:ascii="宋体" w:hAnsi="宋体" w:cs="宋体"/>
          <w:b/>
          <w:szCs w:val="21"/>
        </w:rPr>
        <w:t>六、合同签订相关事项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1、签订合同</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l成交供应商应按成交通知书规定的时间、地点,按照磋商文件确定的事项与采购人签订政府采购合同，且不得迟于成交通知书发出之日起十五日内，否则由此给采购人造成损失的，成交供应商还应承担赔偿责任。</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1.2 磋商文件、成交供应商的响应文件及磋商采购过程中有关澄清、承诺文件均应作为合同附件。</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bookmarkEnd w:id="135"/>
    <w:bookmarkEnd w:id="136"/>
    <w:bookmarkEnd w:id="137"/>
    <w:p>
      <w:pPr>
        <w:pStyle w:val="3"/>
        <w:spacing w:before="0" w:after="0" w:line="360" w:lineRule="auto"/>
        <w:rPr>
          <w:rStyle w:val="38"/>
          <w:rFonts w:ascii="宋体" w:hAnsi="宋体" w:cs="宋体"/>
          <w:b w:val="0"/>
          <w:sz w:val="28"/>
          <w:szCs w:val="28"/>
        </w:rPr>
      </w:pPr>
      <w:r>
        <w:rPr>
          <w:rFonts w:hint="eastAsia" w:ascii="宋体" w:hAnsi="宋体" w:eastAsia="宋体" w:cs="宋体"/>
          <w:sz w:val="21"/>
          <w:szCs w:val="21"/>
        </w:rPr>
        <w:br w:type="page"/>
      </w:r>
      <w:bookmarkStart w:id="138" w:name="_Toc6760"/>
      <w:r>
        <w:rPr>
          <w:rStyle w:val="38"/>
          <w:rFonts w:hint="eastAsia" w:ascii="宋体" w:hAnsi="宋体" w:cs="宋体"/>
          <w:b w:val="0"/>
          <w:sz w:val="28"/>
          <w:szCs w:val="28"/>
        </w:rPr>
        <w:t>第三章  合同条款及格式</w:t>
      </w:r>
      <w:bookmarkEnd w:id="138"/>
    </w:p>
    <w:p>
      <w:pPr>
        <w:pStyle w:val="21"/>
        <w:spacing w:before="0" w:after="0" w:line="500" w:lineRule="exact"/>
        <w:jc w:val="center"/>
      </w:pPr>
      <w:r>
        <w:rPr>
          <w:rFonts w:hint="eastAsia" w:ascii="宋体" w:hAnsi="宋体"/>
          <w:sz w:val="21"/>
          <w:szCs w:val="21"/>
        </w:rPr>
        <w:t>（参考文本）</w:t>
      </w:r>
    </w:p>
    <w:p>
      <w:pPr>
        <w:rPr>
          <w:rFonts w:hAnsi="宋体" w:cs="宋体"/>
          <w:kern w:val="0"/>
          <w:szCs w:val="21"/>
        </w:rPr>
      </w:pPr>
    </w:p>
    <w:p>
      <w:pPr>
        <w:spacing w:line="360" w:lineRule="auto"/>
        <w:ind w:firstLine="420" w:firstLineChars="200"/>
        <w:rPr>
          <w:rFonts w:ascii="宋体" w:hAnsi="宋体" w:cs="宋体"/>
          <w:bCs/>
          <w:szCs w:val="21"/>
        </w:rPr>
      </w:pPr>
      <w:r>
        <w:rPr>
          <w:rFonts w:hint="eastAsia" w:ascii="宋体" w:hAnsi="宋体" w:cs="宋体"/>
          <w:bCs/>
          <w:szCs w:val="21"/>
        </w:rPr>
        <w:t>以下为采购人与中标人签定本项目合同的通用条款，中标人不得提出实质性的修改，关于专用条款将由采购人与中标人结合本项目具体情况协商后签订。</w:t>
      </w:r>
    </w:p>
    <w:p>
      <w:pPr>
        <w:keepNext/>
        <w:keepLines/>
        <w:spacing w:line="360" w:lineRule="auto"/>
        <w:ind w:firstLine="420" w:firstLineChars="200"/>
        <w:jc w:val="center"/>
        <w:outlineLvl w:val="1"/>
        <w:rPr>
          <w:rFonts w:ascii="宋体" w:hAnsi="宋体" w:cs="宋体"/>
          <w:szCs w:val="21"/>
        </w:rPr>
      </w:pPr>
      <w:bookmarkStart w:id="139" w:name="_Toc421698221"/>
      <w:bookmarkStart w:id="140" w:name="_Toc24771"/>
      <w:bookmarkStart w:id="141" w:name="_Toc445472039"/>
      <w:r>
        <w:rPr>
          <w:rFonts w:hint="eastAsia" w:ascii="宋体" w:hAnsi="宋体" w:cs="宋体"/>
          <w:szCs w:val="21"/>
        </w:rPr>
        <w:t>合 同 条 款</w:t>
      </w:r>
      <w:bookmarkEnd w:id="139"/>
      <w:bookmarkEnd w:id="140"/>
      <w:bookmarkEnd w:id="141"/>
    </w:p>
    <w:p>
      <w:pPr>
        <w:snapToGrid w:val="0"/>
        <w:spacing w:line="360" w:lineRule="auto"/>
        <w:ind w:firstLine="420" w:firstLineChars="200"/>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ind w:firstLine="420" w:firstLineChars="200"/>
        <w:rPr>
          <w:rFonts w:ascii="宋体" w:hAnsi="宋体"/>
          <w:szCs w:val="21"/>
        </w:rPr>
      </w:pPr>
      <w:r>
        <w:rPr>
          <w:rFonts w:hint="eastAsia" w:ascii="宋体" w:hAnsi="宋体"/>
          <w:szCs w:val="21"/>
        </w:rPr>
        <w:t>项目编号：</w:t>
      </w:r>
    </w:p>
    <w:p>
      <w:pPr>
        <w:snapToGrid w:val="0"/>
        <w:spacing w:line="360" w:lineRule="auto"/>
        <w:ind w:firstLine="420" w:firstLineChars="200"/>
        <w:rPr>
          <w:rFonts w:ascii="宋体" w:hAnsi="宋体"/>
          <w:szCs w:val="21"/>
          <w:u w:val="single"/>
        </w:rPr>
      </w:pPr>
      <w:r>
        <w:rPr>
          <w:rFonts w:hint="eastAsia" w:ascii="宋体" w:hAnsi="宋体"/>
          <w:szCs w:val="21"/>
        </w:rPr>
        <w:t>甲方：（买方、采购人）</w:t>
      </w:r>
      <w:r>
        <w:rPr>
          <w:rFonts w:hint="eastAsia" w:ascii="宋体" w:hAnsi="宋体"/>
          <w:szCs w:val="21"/>
          <w:u w:val="single"/>
        </w:rPr>
        <w:t>　　　　　　　　　</w:t>
      </w:r>
    </w:p>
    <w:p>
      <w:pPr>
        <w:snapToGrid w:val="0"/>
        <w:spacing w:line="360" w:lineRule="auto"/>
        <w:ind w:firstLine="420" w:firstLineChars="200"/>
        <w:rPr>
          <w:rFonts w:ascii="宋体" w:hAnsi="宋体"/>
          <w:szCs w:val="21"/>
          <w:u w:val="single"/>
        </w:rPr>
      </w:pPr>
      <w:r>
        <w:rPr>
          <w:rFonts w:hint="eastAsia" w:ascii="宋体" w:hAnsi="宋体"/>
          <w:szCs w:val="21"/>
        </w:rPr>
        <w:t>乙方：（卖方、成交供应商）</w:t>
      </w:r>
      <w:r>
        <w:rPr>
          <w:rFonts w:hint="eastAsia" w:ascii="宋体" w:hAnsi="宋体"/>
          <w:szCs w:val="21"/>
          <w:u w:val="single"/>
        </w:rPr>
        <w:t>　　　　 　　</w:t>
      </w:r>
    </w:p>
    <w:p>
      <w:pPr>
        <w:snapToGrid w:val="0"/>
        <w:spacing w:line="360" w:lineRule="auto"/>
        <w:ind w:firstLine="420" w:firstLineChars="200"/>
        <w:rPr>
          <w:rFonts w:ascii="宋体" w:hAnsi="宋体"/>
          <w:szCs w:val="21"/>
        </w:rPr>
      </w:pPr>
      <w:r>
        <w:rPr>
          <w:rFonts w:hint="eastAsia" w:ascii="宋体" w:hAnsi="宋体"/>
          <w:szCs w:val="21"/>
        </w:rPr>
        <w:t>代理机构：</w:t>
      </w:r>
      <w:r>
        <w:rPr>
          <w:rFonts w:ascii="宋体" w:hAnsi="宋体"/>
          <w:szCs w:val="21"/>
        </w:rPr>
        <w:t xml:space="preserve"> </w:t>
      </w:r>
    </w:p>
    <w:p>
      <w:pPr>
        <w:snapToGrid w:val="0"/>
        <w:spacing w:line="360" w:lineRule="auto"/>
        <w:ind w:firstLine="420" w:firstLineChars="200"/>
        <w:rPr>
          <w:rFonts w:ascii="宋体" w:hAnsi="宋体"/>
          <w:b/>
          <w:szCs w:val="21"/>
        </w:rPr>
      </w:pPr>
      <w:r>
        <w:rPr>
          <w:rFonts w:hint="eastAsia" w:ascii="宋体" w:hAnsi="宋体"/>
          <w:szCs w:val="21"/>
        </w:rPr>
        <w:t>甲、乙双方根据****</w:t>
      </w:r>
      <w:r>
        <w:rPr>
          <w:rFonts w:hint="eastAsia" w:ascii="宋体" w:hAnsi="宋体" w:cs="宋体"/>
          <w:bCs/>
          <w:szCs w:val="21"/>
        </w:rPr>
        <w:t>采购项目</w:t>
      </w:r>
      <w:r>
        <w:rPr>
          <w:rFonts w:hint="eastAsia" w:ascii="宋体" w:hAnsi="宋体"/>
          <w:szCs w:val="21"/>
        </w:rPr>
        <w:t>竞争性磋商的结果，签署本合同。</w:t>
      </w:r>
    </w:p>
    <w:p>
      <w:pPr>
        <w:spacing w:line="360" w:lineRule="auto"/>
        <w:ind w:firstLine="420" w:firstLineChars="200"/>
        <w:rPr>
          <w:rFonts w:ascii="宋体" w:hAnsi="宋体" w:cs="宋体"/>
          <w:b/>
          <w:bCs/>
          <w:szCs w:val="21"/>
        </w:rPr>
      </w:pPr>
      <w:r>
        <w:rPr>
          <w:rFonts w:hint="eastAsia" w:ascii="宋体" w:hAnsi="宋体" w:cs="宋体"/>
          <w:szCs w:val="21"/>
        </w:rPr>
        <w:t>一、</w:t>
      </w:r>
      <w:r>
        <w:rPr>
          <w:rFonts w:hint="eastAsia" w:ascii="宋体" w:hAnsi="宋体" w:cs="宋体"/>
          <w:b/>
          <w:bCs/>
          <w:szCs w:val="21"/>
        </w:rPr>
        <w:t>采购标的</w:t>
      </w:r>
    </w:p>
    <w:p>
      <w:pPr>
        <w:spacing w:line="360" w:lineRule="auto"/>
        <w:ind w:firstLine="420" w:firstLineChars="200"/>
        <w:rPr>
          <w:rFonts w:ascii="宋体" w:hAnsi="宋体" w:cs="宋体"/>
          <w:szCs w:val="21"/>
          <w:u w:val="single"/>
        </w:rPr>
      </w:pPr>
      <w:r>
        <w:rPr>
          <w:rFonts w:hint="eastAsia" w:ascii="宋体" w:hAnsi="宋体" w:cs="宋体"/>
          <w:szCs w:val="21"/>
        </w:rPr>
        <w:t>1、服务名称：</w:t>
      </w:r>
    </w:p>
    <w:p>
      <w:pPr>
        <w:spacing w:line="360" w:lineRule="auto"/>
        <w:ind w:firstLine="420" w:firstLineChars="200"/>
        <w:rPr>
          <w:rFonts w:hint="eastAsia" w:ascii="宋体" w:hAnsi="宋体" w:cs="宋体"/>
          <w:color w:val="auto"/>
          <w:szCs w:val="21"/>
        </w:rPr>
      </w:pPr>
      <w:r>
        <w:rPr>
          <w:rFonts w:hint="eastAsia" w:ascii="宋体" w:hAnsi="宋体" w:cs="宋体"/>
          <w:szCs w:val="21"/>
        </w:rPr>
        <w:t>2、服务内容：</w:t>
      </w:r>
      <w:r>
        <w:rPr>
          <w:rFonts w:hint="eastAsia" w:ascii="宋体" w:hAnsi="宋体" w:cs="宋体"/>
          <w:color w:val="auto"/>
          <w:szCs w:val="21"/>
        </w:rPr>
        <w:t>参照采购文件的具体要求。</w:t>
      </w:r>
    </w:p>
    <w:p>
      <w:pPr>
        <w:spacing w:line="360" w:lineRule="auto"/>
        <w:ind w:firstLine="420" w:firstLineChars="200"/>
        <w:rPr>
          <w:rFonts w:hint="default" w:ascii="宋体" w:hAnsi="宋体" w:cs="宋体"/>
          <w:szCs w:val="21"/>
          <w:lang w:val="en-US"/>
        </w:rPr>
      </w:pPr>
      <w:r>
        <w:rPr>
          <w:rFonts w:hint="eastAsia" w:ascii="宋体" w:hAnsi="宋体" w:cs="宋体"/>
          <w:color w:val="auto"/>
          <w:szCs w:val="21"/>
        </w:rPr>
        <w:t>3、服务期限：</w:t>
      </w:r>
      <w:r>
        <w:rPr>
          <w:rFonts w:hint="eastAsia" w:ascii="宋体" w:hAnsi="宋体" w:cs="宋体"/>
          <w:color w:val="auto"/>
          <w:szCs w:val="21"/>
          <w:lang w:val="en-US" w:eastAsia="zh-CN"/>
        </w:rPr>
        <w:t>乙方免费为甲方所采购的</w:t>
      </w:r>
      <w:r>
        <w:rPr>
          <w:rFonts w:hint="eastAsia" w:ascii="宋体" w:hAnsi="宋体" w:cs="宋体"/>
          <w:color w:val="auto"/>
          <w:szCs w:val="21"/>
        </w:rPr>
        <w:t>无人机</w:t>
      </w:r>
      <w:r>
        <w:rPr>
          <w:rFonts w:hint="eastAsia" w:ascii="宋体" w:hAnsi="宋体" w:cs="宋体"/>
          <w:color w:val="auto"/>
          <w:szCs w:val="21"/>
          <w:lang w:val="en-US" w:eastAsia="zh-CN"/>
        </w:rPr>
        <w:t>和无人机场保养维护三年</w:t>
      </w:r>
    </w:p>
    <w:p>
      <w:pPr>
        <w:spacing w:line="360" w:lineRule="auto"/>
        <w:ind w:firstLine="420" w:firstLineChars="200"/>
        <w:rPr>
          <w:rFonts w:ascii="宋体" w:hAnsi="宋体" w:cs="宋体"/>
          <w:szCs w:val="21"/>
          <w:u w:val="single"/>
        </w:rPr>
      </w:pPr>
      <w:r>
        <w:rPr>
          <w:rFonts w:hint="eastAsia" w:ascii="宋体" w:hAnsi="宋体" w:cs="宋体"/>
          <w:szCs w:val="21"/>
        </w:rPr>
        <w:t>4、补充条款：</w:t>
      </w:r>
      <w:r>
        <w:rPr>
          <w:rFonts w:hint="eastAsia" w:ascii="宋体" w:hAnsi="宋体" w:cs="宋体"/>
          <w:szCs w:val="21"/>
          <w:u w:val="single"/>
        </w:rPr>
        <w:t xml:space="preserve">                     </w:t>
      </w:r>
    </w:p>
    <w:p>
      <w:pPr>
        <w:spacing w:line="360" w:lineRule="auto"/>
        <w:ind w:firstLine="422" w:firstLineChars="200"/>
        <w:rPr>
          <w:rFonts w:ascii="宋体" w:hAnsi="宋体" w:cs="宋体"/>
          <w:szCs w:val="21"/>
        </w:rPr>
      </w:pPr>
      <w:r>
        <w:rPr>
          <w:rFonts w:hint="eastAsia" w:ascii="宋体" w:hAnsi="宋体" w:cs="宋体"/>
          <w:b/>
          <w:szCs w:val="21"/>
        </w:rPr>
        <w:t>二、合同价款</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1、本合同总价款为人民币￥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元整。</w:t>
      </w:r>
    </w:p>
    <w:p>
      <w:pPr>
        <w:spacing w:line="360" w:lineRule="auto"/>
        <w:ind w:firstLine="420" w:firstLineChars="200"/>
        <w:rPr>
          <w:rFonts w:ascii="宋体" w:hAnsi="宋体" w:cs="宋体"/>
          <w:szCs w:val="21"/>
        </w:rPr>
      </w:pPr>
      <w:r>
        <w:rPr>
          <w:rFonts w:hint="eastAsia" w:ascii="宋体" w:hAnsi="宋体" w:cs="宋体"/>
          <w:szCs w:val="21"/>
        </w:rPr>
        <w:t>2、本合同价款包含所有乙方提供合同约定的服务内容的报酬及乙方提供该项服务所支出的必要费用，甲方在上述合同价款之外不再向乙方支付其他任何费用。</w:t>
      </w:r>
    </w:p>
    <w:p>
      <w:pPr>
        <w:spacing w:line="360" w:lineRule="auto"/>
        <w:ind w:firstLine="422" w:firstLineChars="200"/>
        <w:rPr>
          <w:rFonts w:ascii="宋体" w:hAnsi="宋体" w:cs="宋体"/>
          <w:szCs w:val="21"/>
        </w:rPr>
      </w:pPr>
      <w:r>
        <w:rPr>
          <w:rFonts w:hint="eastAsia" w:ascii="宋体" w:hAnsi="宋体" w:cs="宋体"/>
          <w:b/>
          <w:szCs w:val="21"/>
        </w:rPr>
        <w:t>三、合同履行</w:t>
      </w:r>
      <w:r>
        <w:rPr>
          <w:rFonts w:hint="eastAsia" w:ascii="宋体" w:hAnsi="宋体" w:cs="宋体"/>
          <w:szCs w:val="21"/>
        </w:rPr>
        <w:t>：本合同项下服务的提供参照磋商文件的具体要求履行，甲乙双方通过补充条款进行特殊约定的从其约定。</w:t>
      </w:r>
    </w:p>
    <w:p>
      <w:pPr>
        <w:spacing w:line="360" w:lineRule="auto"/>
        <w:ind w:firstLine="420" w:firstLineChars="200"/>
        <w:rPr>
          <w:rFonts w:ascii="宋体" w:hAnsi="宋体" w:cs="宋体"/>
          <w:szCs w:val="21"/>
          <w:u w:val="single"/>
        </w:rPr>
      </w:pPr>
      <w:r>
        <w:rPr>
          <w:rFonts w:hint="eastAsia" w:ascii="宋体" w:hAnsi="宋体" w:cs="宋体"/>
          <w:color w:val="auto"/>
          <w:szCs w:val="21"/>
        </w:rPr>
        <w:t>补充条款：</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乙方于合同签订一周内将设备送至甲方指定地点，运费由乙方承担，乙方负责设备现场安装调试。</w:t>
      </w:r>
      <w:r>
        <w:rPr>
          <w:rFonts w:hint="eastAsia" w:ascii="宋体" w:hAnsi="宋体" w:cs="宋体"/>
          <w:color w:val="auto"/>
          <w:szCs w:val="21"/>
          <w:u w:val="single"/>
        </w:rPr>
        <w:t xml:space="preserve">    </w:t>
      </w:r>
    </w:p>
    <w:p>
      <w:pPr>
        <w:tabs>
          <w:tab w:val="left" w:pos="1980"/>
        </w:tabs>
        <w:spacing w:line="360" w:lineRule="auto"/>
        <w:ind w:firstLine="422" w:firstLineChars="200"/>
        <w:rPr>
          <w:rFonts w:ascii="宋体" w:hAnsi="宋体" w:cs="宋体"/>
          <w:szCs w:val="21"/>
        </w:rPr>
      </w:pPr>
      <w:r>
        <w:rPr>
          <w:rFonts w:hint="eastAsia" w:ascii="宋体" w:hAnsi="宋体" w:cs="宋体"/>
          <w:b/>
          <w:bCs/>
          <w:szCs w:val="21"/>
        </w:rPr>
        <w:t>四</w:t>
      </w:r>
      <w:r>
        <w:rPr>
          <w:rFonts w:hint="eastAsia" w:ascii="宋体" w:hAnsi="宋体" w:cs="宋体"/>
          <w:b/>
          <w:bCs/>
          <w:color w:val="auto"/>
          <w:szCs w:val="21"/>
        </w:rPr>
        <w:t>、验收</w:t>
      </w:r>
      <w:r>
        <w:rPr>
          <w:rFonts w:hint="eastAsia" w:ascii="宋体" w:hAnsi="宋体" w:cs="宋体"/>
          <w:color w:val="auto"/>
          <w:szCs w:val="21"/>
        </w:rPr>
        <w:t>：</w:t>
      </w:r>
      <w:r>
        <w:rPr>
          <w:rFonts w:hint="eastAsia" w:ascii="宋体" w:hAnsi="宋体" w:cs="宋体"/>
          <w:color w:val="auto"/>
          <w:szCs w:val="21"/>
          <w:lang w:val="en-US" w:eastAsia="zh-CN"/>
        </w:rPr>
        <w:t>乙方保证供应的设备符合采购文件的要求，</w:t>
      </w:r>
      <w:r>
        <w:rPr>
          <w:rFonts w:hint="eastAsia" w:ascii="宋体" w:hAnsi="宋体" w:cs="宋体"/>
          <w:strike w:val="0"/>
          <w:dstrike w:val="0"/>
          <w:color w:val="auto"/>
          <w:szCs w:val="21"/>
          <w:lang w:val="en-US" w:eastAsia="zh-CN"/>
        </w:rPr>
        <w:t>设备到达甲方指定地点后，甲方应于三日内进行验收，</w:t>
      </w:r>
      <w:r>
        <w:rPr>
          <w:rFonts w:hint="eastAsia" w:ascii="宋体" w:hAnsi="宋体" w:cs="宋体"/>
          <w:color w:val="auto"/>
          <w:szCs w:val="21"/>
        </w:rPr>
        <w:t>如需委托第三方验收，验收费用由甲方、乙方协商确定。因乙方提供的服务不符合标准导致甲方重复支出的验收费用，由</w:t>
      </w:r>
      <w:r>
        <w:rPr>
          <w:rFonts w:hint="eastAsia" w:ascii="宋体" w:hAnsi="宋体" w:cs="宋体"/>
          <w:szCs w:val="21"/>
        </w:rPr>
        <w:t>乙方承担。相关验收工作须在甲方工作日时间内进行。</w:t>
      </w:r>
    </w:p>
    <w:p>
      <w:pPr>
        <w:tabs>
          <w:tab w:val="left" w:pos="1980"/>
        </w:tabs>
        <w:spacing w:line="360" w:lineRule="auto"/>
        <w:ind w:firstLine="420" w:firstLineChars="200"/>
        <w:rPr>
          <w:rFonts w:ascii="宋体" w:hAnsi="宋体" w:cs="宋体"/>
          <w:szCs w:val="21"/>
        </w:rPr>
      </w:pPr>
      <w:r>
        <w:rPr>
          <w:rFonts w:hint="eastAsia" w:ascii="宋体" w:hAnsi="宋体" w:cs="宋体"/>
          <w:szCs w:val="21"/>
        </w:rPr>
        <w:t>经验收不合格的，经甲乙双方协商确认一个合理期限，乙方应当在期限内进行整改和完善，直至符合磋商文件要求的相关标准。逾期七日内不予整改或经整改七日内仍不能符合相关要求，或者导致合同目的无法实现，甲方有权单方面要求解除合同。</w:t>
      </w:r>
    </w:p>
    <w:p>
      <w:pPr>
        <w:tabs>
          <w:tab w:val="left" w:pos="1980"/>
        </w:tabs>
        <w:spacing w:line="360" w:lineRule="auto"/>
        <w:ind w:firstLine="422" w:firstLineChars="200"/>
        <w:rPr>
          <w:rFonts w:ascii="宋体" w:hAnsi="宋体" w:cs="宋体"/>
          <w:szCs w:val="21"/>
        </w:rPr>
      </w:pPr>
      <w:r>
        <w:rPr>
          <w:rFonts w:hint="eastAsia" w:ascii="宋体" w:hAnsi="宋体" w:cs="宋体"/>
          <w:b/>
          <w:szCs w:val="21"/>
        </w:rPr>
        <w:t>五、合同责任</w:t>
      </w:r>
      <w:r>
        <w:rPr>
          <w:rFonts w:hint="eastAsia" w:ascii="宋体" w:hAnsi="宋体" w:cs="宋体"/>
          <w:szCs w:val="21"/>
        </w:rPr>
        <w:t>：</w:t>
      </w:r>
    </w:p>
    <w:p>
      <w:pPr>
        <w:tabs>
          <w:tab w:val="left" w:pos="1980"/>
        </w:tabs>
        <w:spacing w:line="360" w:lineRule="auto"/>
        <w:ind w:firstLine="420" w:firstLineChars="200"/>
        <w:rPr>
          <w:rFonts w:ascii="宋体" w:hAnsi="宋体" w:cs="宋体"/>
          <w:szCs w:val="21"/>
        </w:rPr>
      </w:pPr>
      <w:r>
        <w:rPr>
          <w:rFonts w:hint="eastAsia" w:ascii="宋体" w:hAnsi="宋体" w:cs="宋体"/>
          <w:szCs w:val="21"/>
        </w:rPr>
        <w:t>1、甲方应当为乙方履行合同提供必要的支持。</w:t>
      </w:r>
    </w:p>
    <w:p>
      <w:pPr>
        <w:tabs>
          <w:tab w:val="left" w:pos="1980"/>
        </w:tabs>
        <w:spacing w:line="360" w:lineRule="auto"/>
        <w:ind w:firstLine="420" w:firstLineChars="200"/>
        <w:rPr>
          <w:rFonts w:ascii="宋体" w:hAnsi="宋体" w:cs="宋体"/>
          <w:szCs w:val="21"/>
        </w:rPr>
      </w:pPr>
      <w:r>
        <w:rPr>
          <w:rFonts w:hint="eastAsia" w:ascii="宋体" w:hAnsi="宋体" w:cs="宋体"/>
          <w:szCs w:val="21"/>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若第三方仅向甲方主张权利，并经甲方确认乙方确实存在侵权行为的，甲方向第三方赔偿后，甲方有权直接向乙方追偿上述赔偿款。</w:t>
      </w:r>
    </w:p>
    <w:p>
      <w:pPr>
        <w:tabs>
          <w:tab w:val="left" w:pos="1980"/>
        </w:tabs>
        <w:spacing w:line="360" w:lineRule="auto"/>
        <w:ind w:firstLine="420" w:firstLineChars="200"/>
        <w:rPr>
          <w:rFonts w:ascii="宋体" w:hAnsi="宋体" w:cs="宋体"/>
          <w:szCs w:val="21"/>
        </w:rPr>
      </w:pPr>
      <w:r>
        <w:rPr>
          <w:rFonts w:hint="eastAsia" w:ascii="宋体" w:hAnsi="宋体" w:cs="宋体"/>
          <w:szCs w:val="21"/>
        </w:rPr>
        <w:t>3、乙方在履行合同中产生的一切非因甲方过错导致的损失，均由乙方自行承担责任。</w:t>
      </w:r>
    </w:p>
    <w:p>
      <w:pPr>
        <w:tabs>
          <w:tab w:val="left" w:pos="1980"/>
        </w:tabs>
        <w:spacing w:line="360" w:lineRule="auto"/>
        <w:ind w:firstLine="420" w:firstLineChars="200"/>
        <w:rPr>
          <w:rFonts w:ascii="宋体" w:hAnsi="宋体" w:cs="宋体"/>
          <w:szCs w:val="21"/>
        </w:rPr>
      </w:pPr>
      <w:r>
        <w:rPr>
          <w:rFonts w:hint="eastAsia" w:ascii="宋体" w:hAnsi="宋体" w:cs="宋体"/>
          <w:szCs w:val="21"/>
        </w:rPr>
        <w:t>4、甲乙双方均应指定专人作为本合同履行期间双方之间的联络人，所有一方向相对方正式知会事项的通知到达相对方指定联络人即视为到达对方。</w:t>
      </w:r>
    </w:p>
    <w:p>
      <w:pPr>
        <w:tabs>
          <w:tab w:val="left" w:pos="1980"/>
        </w:tabs>
        <w:spacing w:line="360" w:lineRule="auto"/>
        <w:ind w:firstLine="420" w:firstLineChars="200"/>
        <w:rPr>
          <w:rFonts w:ascii="宋体" w:hAnsi="宋体" w:cs="宋体"/>
          <w:szCs w:val="21"/>
        </w:rPr>
      </w:pPr>
      <w:r>
        <w:rPr>
          <w:rFonts w:hint="eastAsia" w:ascii="宋体" w:hAnsi="宋体" w:cs="宋体"/>
          <w:szCs w:val="21"/>
        </w:rPr>
        <w:t>甲方指定联络人：           乙方指定联络人：</w:t>
      </w:r>
    </w:p>
    <w:p>
      <w:pPr>
        <w:tabs>
          <w:tab w:val="left" w:pos="1980"/>
        </w:tabs>
        <w:spacing w:line="360" w:lineRule="auto"/>
        <w:ind w:firstLine="420" w:firstLineChars="200"/>
        <w:rPr>
          <w:rFonts w:ascii="宋体" w:hAnsi="宋体" w:cs="宋体"/>
          <w:szCs w:val="21"/>
        </w:rPr>
      </w:pPr>
      <w:r>
        <w:rPr>
          <w:rFonts w:hint="eastAsia" w:ascii="宋体" w:hAnsi="宋体" w:cs="宋体"/>
          <w:szCs w:val="21"/>
        </w:rPr>
        <w:t xml:space="preserve">姓名：                     姓名： </w:t>
      </w:r>
    </w:p>
    <w:p>
      <w:pPr>
        <w:tabs>
          <w:tab w:val="left" w:pos="1980"/>
        </w:tabs>
        <w:spacing w:line="360" w:lineRule="auto"/>
        <w:ind w:firstLine="420" w:firstLineChars="200"/>
        <w:rPr>
          <w:rFonts w:ascii="宋体" w:hAnsi="宋体" w:cs="宋体"/>
          <w:b/>
          <w:bCs/>
          <w:szCs w:val="21"/>
        </w:rPr>
      </w:pPr>
      <w:r>
        <w:rPr>
          <w:rFonts w:hint="eastAsia" w:ascii="宋体" w:hAnsi="宋体" w:cs="宋体"/>
          <w:szCs w:val="21"/>
        </w:rPr>
        <w:t>联系方式：                 联系方式：</w:t>
      </w:r>
    </w:p>
    <w:p>
      <w:pPr>
        <w:spacing w:line="360" w:lineRule="auto"/>
        <w:ind w:firstLine="422" w:firstLineChars="200"/>
        <w:rPr>
          <w:rFonts w:ascii="宋体" w:hAnsi="宋体" w:cs="宋体"/>
          <w:b/>
          <w:bCs/>
          <w:szCs w:val="21"/>
        </w:rPr>
      </w:pPr>
      <w:r>
        <w:rPr>
          <w:rFonts w:hint="eastAsia" w:ascii="宋体" w:hAnsi="宋体" w:cs="宋体"/>
          <w:b/>
          <w:bCs/>
          <w:szCs w:val="21"/>
        </w:rPr>
        <w:t>六、付款方式：</w:t>
      </w:r>
    </w:p>
    <w:p>
      <w:pPr>
        <w:spacing w:line="360" w:lineRule="auto"/>
        <w:ind w:firstLine="420" w:firstLineChars="200"/>
        <w:rPr>
          <w:rFonts w:ascii="宋体" w:hAnsi="宋体" w:cs="宋体"/>
          <w:szCs w:val="21"/>
        </w:rPr>
      </w:pPr>
      <w:r>
        <w:rPr>
          <w:rFonts w:hint="eastAsia" w:ascii="宋体" w:hAnsi="宋体" w:cs="宋体"/>
          <w:szCs w:val="21"/>
        </w:rPr>
        <w:t>本合同项下所有款项均以人民币支付；</w:t>
      </w:r>
    </w:p>
    <w:p>
      <w:pPr>
        <w:spacing w:line="360" w:lineRule="auto"/>
        <w:ind w:firstLine="420" w:firstLineChars="200"/>
        <w:rPr>
          <w:rFonts w:ascii="宋体" w:hAnsi="宋体" w:cs="宋体"/>
          <w:szCs w:val="21"/>
        </w:rPr>
      </w:pPr>
      <w:r>
        <w:rPr>
          <w:rFonts w:hint="eastAsia" w:ascii="宋体" w:hAnsi="宋体" w:cs="宋体"/>
          <w:szCs w:val="21"/>
        </w:rPr>
        <w:t>合同签订后， 十五个工作日内甲方向乙方支付合同总价的</w:t>
      </w:r>
      <w:r>
        <w:rPr>
          <w:rFonts w:hint="eastAsia" w:ascii="宋体" w:hAnsi="宋体" w:cs="宋体"/>
          <w:szCs w:val="21"/>
          <w:u w:val="single"/>
        </w:rPr>
        <w:t>1</w:t>
      </w:r>
      <w:r>
        <w:rPr>
          <w:rFonts w:ascii="宋体" w:hAnsi="宋体" w:cs="宋体"/>
          <w:szCs w:val="21"/>
          <w:u w:val="single"/>
        </w:rPr>
        <w:t>00%</w:t>
      </w:r>
      <w:r>
        <w:rPr>
          <w:rFonts w:ascii="宋体" w:hAnsi="宋体" w:cs="宋体"/>
          <w:szCs w:val="21"/>
        </w:rPr>
        <w:t xml:space="preserve"> </w:t>
      </w:r>
      <w:r>
        <w:rPr>
          <w:rFonts w:hint="eastAsia" w:ascii="宋体" w:hAnsi="宋体" w:cs="宋体"/>
          <w:szCs w:val="21"/>
        </w:rPr>
        <w:t>。</w:t>
      </w:r>
    </w:p>
    <w:p>
      <w:pPr>
        <w:spacing w:line="360" w:lineRule="auto"/>
        <w:ind w:firstLine="422" w:firstLineChars="200"/>
        <w:rPr>
          <w:rFonts w:ascii="宋体" w:hAnsi="宋体" w:cs="宋体"/>
          <w:szCs w:val="21"/>
        </w:rPr>
      </w:pPr>
      <w:r>
        <w:rPr>
          <w:rFonts w:hint="eastAsia" w:ascii="宋体" w:hAnsi="宋体" w:cs="宋体"/>
          <w:b/>
          <w:szCs w:val="21"/>
        </w:rPr>
        <w:t>七、保密条款</w:t>
      </w:r>
      <w:r>
        <w:rPr>
          <w:rFonts w:hint="eastAsia" w:ascii="宋体" w:hAnsi="宋体" w:cs="宋体"/>
          <w:szCs w:val="21"/>
        </w:rPr>
        <w:t>：乙方不得将在履行本合同中知悉的甲方任何信息随意泄露、擅自使用。</w:t>
      </w:r>
    </w:p>
    <w:p>
      <w:pPr>
        <w:spacing w:line="360" w:lineRule="auto"/>
        <w:ind w:firstLine="420" w:firstLineChars="200"/>
        <w:rPr>
          <w:rFonts w:ascii="宋体" w:hAnsi="宋体" w:cs="宋体"/>
          <w:color w:val="FF0000"/>
          <w:szCs w:val="21"/>
          <w:u w:val="single"/>
        </w:rPr>
      </w:pPr>
      <w:r>
        <w:rPr>
          <w:rFonts w:hint="eastAsia" w:ascii="宋体" w:hAnsi="宋体" w:cs="宋体"/>
          <w:szCs w:val="21"/>
        </w:rPr>
        <w:t>如违反本条款规定，乙方应当承担如下责任:向甲方支付违约金8万的违约责任。</w:t>
      </w:r>
    </w:p>
    <w:p>
      <w:pPr>
        <w:spacing w:line="360" w:lineRule="auto"/>
        <w:ind w:firstLine="422" w:firstLineChars="200"/>
        <w:rPr>
          <w:rFonts w:ascii="宋体" w:hAnsi="宋体" w:cs="宋体"/>
          <w:szCs w:val="21"/>
          <w:u w:val="single"/>
        </w:rPr>
      </w:pPr>
      <w:r>
        <w:rPr>
          <w:rFonts w:hint="eastAsia" w:ascii="宋体" w:hAnsi="宋体" w:cs="宋体"/>
          <w:b/>
          <w:szCs w:val="21"/>
        </w:rPr>
        <w:t>八、合同纠纷处理：</w:t>
      </w:r>
      <w:r>
        <w:rPr>
          <w:rFonts w:hint="eastAsia" w:ascii="宋体" w:hAnsi="宋体" w:cs="宋体"/>
          <w:szCs w:val="21"/>
        </w:rPr>
        <w:t>本合同执行过程中发生纠纷，由甲乙双方协商处理，若协商不成，双方一致同意按如下第</w:t>
      </w:r>
      <w:r>
        <w:rPr>
          <w:rFonts w:hint="eastAsia" w:ascii="宋体" w:hAnsi="宋体" w:cs="宋体"/>
          <w:szCs w:val="21"/>
          <w:u w:val="single"/>
        </w:rPr>
        <w:t xml:space="preserve">    </w:t>
      </w:r>
      <w:r>
        <w:rPr>
          <w:rFonts w:hint="eastAsia" w:ascii="宋体" w:hAnsi="宋体" w:cs="宋体"/>
          <w:szCs w:val="21"/>
        </w:rPr>
        <w:t>种方式处理：</w:t>
      </w:r>
    </w:p>
    <w:p>
      <w:pPr>
        <w:spacing w:line="360" w:lineRule="auto"/>
        <w:ind w:firstLine="420" w:firstLineChars="200"/>
        <w:rPr>
          <w:rFonts w:ascii="宋体" w:hAnsi="宋体" w:cs="宋体"/>
          <w:szCs w:val="21"/>
          <w:u w:val="single"/>
        </w:rPr>
      </w:pPr>
      <w:r>
        <w:rPr>
          <w:rFonts w:hint="eastAsia" w:ascii="宋体" w:hAnsi="宋体" w:cs="宋体"/>
          <w:szCs w:val="21"/>
        </w:rPr>
        <w:t>1、申请仲裁。选定仲裁机构为泰州市仲裁委员会。</w:t>
      </w:r>
    </w:p>
    <w:p>
      <w:pPr>
        <w:spacing w:line="360" w:lineRule="auto"/>
        <w:ind w:firstLine="420" w:firstLineChars="200"/>
        <w:rPr>
          <w:rFonts w:ascii="宋体" w:hAnsi="宋体" w:cs="宋体"/>
          <w:szCs w:val="21"/>
          <w:u w:val="single"/>
        </w:rPr>
      </w:pPr>
      <w:r>
        <w:rPr>
          <w:rFonts w:hint="eastAsia" w:ascii="宋体" w:hAnsi="宋体" w:cs="宋体"/>
          <w:szCs w:val="21"/>
        </w:rPr>
        <w:t>2、提起诉讼。约定由采购人所在地人民法院管辖。</w:t>
      </w:r>
    </w:p>
    <w:p>
      <w:pPr>
        <w:spacing w:line="360" w:lineRule="auto"/>
        <w:ind w:firstLine="422" w:firstLineChars="200"/>
        <w:rPr>
          <w:rFonts w:ascii="宋体" w:hAnsi="宋体" w:cs="宋体"/>
          <w:szCs w:val="21"/>
        </w:rPr>
      </w:pPr>
      <w:r>
        <w:rPr>
          <w:rFonts w:hint="eastAsia" w:ascii="宋体" w:hAnsi="宋体" w:cs="宋体"/>
          <w:b/>
          <w:szCs w:val="21"/>
        </w:rPr>
        <w:t>九、合同生效：</w:t>
      </w:r>
      <w:r>
        <w:rPr>
          <w:rFonts w:hint="eastAsia" w:ascii="宋体" w:hAnsi="宋体" w:cs="宋体"/>
          <w:szCs w:val="21"/>
        </w:rPr>
        <w:t>本合同由甲乙双方签字盖章后生效。</w:t>
      </w:r>
    </w:p>
    <w:p>
      <w:pPr>
        <w:spacing w:line="360" w:lineRule="auto"/>
        <w:ind w:firstLine="422" w:firstLineChars="200"/>
        <w:rPr>
          <w:rFonts w:ascii="宋体" w:hAnsi="宋体" w:cs="宋体"/>
          <w:b/>
          <w:szCs w:val="21"/>
        </w:rPr>
      </w:pPr>
      <w:r>
        <w:rPr>
          <w:rFonts w:hint="eastAsia" w:ascii="宋体" w:hAnsi="宋体" w:cs="宋体"/>
          <w:b/>
          <w:szCs w:val="21"/>
        </w:rPr>
        <w:t>十、组成本合同的文件包括：</w:t>
      </w:r>
    </w:p>
    <w:p>
      <w:pPr>
        <w:spacing w:line="360" w:lineRule="auto"/>
        <w:ind w:firstLine="420" w:firstLineChars="200"/>
        <w:rPr>
          <w:rFonts w:ascii="宋体" w:hAnsi="宋体" w:cs="宋体"/>
          <w:bCs/>
          <w:szCs w:val="21"/>
        </w:rPr>
      </w:pPr>
      <w:r>
        <w:rPr>
          <w:rFonts w:hint="eastAsia" w:ascii="宋体" w:hAnsi="宋体" w:cs="宋体"/>
          <w:bCs/>
          <w:szCs w:val="21"/>
        </w:rPr>
        <w:t>（一）合同通用条款和专用条款；</w:t>
      </w:r>
    </w:p>
    <w:p>
      <w:pPr>
        <w:spacing w:line="360" w:lineRule="auto"/>
        <w:ind w:firstLine="420" w:firstLineChars="200"/>
        <w:rPr>
          <w:rFonts w:ascii="宋体" w:hAnsi="宋体" w:cs="宋体"/>
          <w:bCs/>
          <w:szCs w:val="21"/>
        </w:rPr>
      </w:pPr>
      <w:r>
        <w:rPr>
          <w:rFonts w:hint="eastAsia" w:ascii="宋体" w:hAnsi="宋体" w:cs="宋体"/>
          <w:bCs/>
          <w:szCs w:val="21"/>
        </w:rPr>
        <w:t>（二）采购文件和乙方</w:t>
      </w:r>
      <w:r>
        <w:rPr>
          <w:rFonts w:hint="eastAsia" w:ascii="宋体" w:hAnsi="宋体" w:cs="宋体"/>
          <w:szCs w:val="21"/>
        </w:rPr>
        <w:t>的响应文</w:t>
      </w:r>
      <w:r>
        <w:rPr>
          <w:rFonts w:hint="eastAsia" w:ascii="宋体" w:hAnsi="宋体" w:cs="宋体"/>
          <w:bCs/>
          <w:szCs w:val="21"/>
        </w:rPr>
        <w:t>件；</w:t>
      </w:r>
    </w:p>
    <w:p>
      <w:pPr>
        <w:spacing w:line="360" w:lineRule="auto"/>
        <w:ind w:firstLine="420" w:firstLineChars="200"/>
        <w:rPr>
          <w:rFonts w:ascii="宋体" w:hAnsi="宋体" w:cs="宋体"/>
          <w:bCs/>
          <w:szCs w:val="21"/>
        </w:rPr>
      </w:pPr>
      <w:r>
        <w:rPr>
          <w:rFonts w:hint="eastAsia" w:ascii="宋体" w:hAnsi="宋体" w:cs="宋体"/>
          <w:bCs/>
          <w:szCs w:val="21"/>
        </w:rPr>
        <w:t>（三）</w:t>
      </w:r>
      <w:r>
        <w:rPr>
          <w:rFonts w:hint="eastAsia" w:ascii="宋体" w:hAnsi="宋体" w:cs="宋体"/>
          <w:szCs w:val="21"/>
        </w:rPr>
        <w:t>成交通</w:t>
      </w:r>
      <w:r>
        <w:rPr>
          <w:rFonts w:hint="eastAsia" w:ascii="宋体" w:hAnsi="宋体" w:cs="宋体"/>
          <w:bCs/>
          <w:szCs w:val="21"/>
        </w:rPr>
        <w:t>知书；</w:t>
      </w:r>
    </w:p>
    <w:p>
      <w:pPr>
        <w:spacing w:line="360" w:lineRule="auto"/>
        <w:ind w:firstLine="420" w:firstLineChars="200"/>
        <w:rPr>
          <w:rFonts w:ascii="宋体" w:hAnsi="宋体" w:cs="宋体"/>
          <w:bCs/>
          <w:szCs w:val="21"/>
        </w:rPr>
      </w:pPr>
      <w:r>
        <w:rPr>
          <w:rFonts w:hint="eastAsia" w:ascii="宋体" w:hAnsi="宋体" w:cs="宋体"/>
          <w:bCs/>
          <w:szCs w:val="21"/>
        </w:rPr>
        <w:t>（四）甲乙双方商定的其他必要文件。</w:t>
      </w:r>
    </w:p>
    <w:p>
      <w:pPr>
        <w:spacing w:line="360" w:lineRule="auto"/>
        <w:ind w:firstLine="420" w:firstLineChars="200"/>
        <w:rPr>
          <w:rFonts w:ascii="宋体" w:hAnsi="宋体" w:cs="宋体"/>
          <w:bCs/>
          <w:szCs w:val="21"/>
        </w:rPr>
      </w:pPr>
      <w:r>
        <w:rPr>
          <w:rFonts w:hint="eastAsia" w:ascii="宋体" w:hAnsi="宋体" w:cs="宋体"/>
          <w:bCs/>
          <w:szCs w:val="21"/>
        </w:rPr>
        <w:t>上述合同文件内容互为补充，如有不明确，由甲方负责解释。</w:t>
      </w:r>
    </w:p>
    <w:p>
      <w:pPr>
        <w:spacing w:line="360" w:lineRule="auto"/>
        <w:ind w:firstLine="422" w:firstLineChars="200"/>
        <w:rPr>
          <w:rFonts w:ascii="宋体" w:hAnsi="宋体" w:cs="宋体"/>
          <w:b/>
          <w:bCs/>
          <w:szCs w:val="21"/>
        </w:rPr>
      </w:pPr>
      <w:r>
        <w:rPr>
          <w:rFonts w:hint="eastAsia" w:ascii="宋体" w:hAnsi="宋体" w:cs="宋体"/>
          <w:b/>
          <w:bCs/>
          <w:szCs w:val="21"/>
        </w:rPr>
        <w:t>十一、合同备案</w:t>
      </w:r>
    </w:p>
    <w:p>
      <w:pPr>
        <w:spacing w:line="360" w:lineRule="auto"/>
        <w:ind w:firstLine="420" w:firstLineChars="200"/>
        <w:rPr>
          <w:rFonts w:ascii="宋体" w:hAnsi="宋体" w:cs="宋体"/>
          <w:bCs/>
          <w:szCs w:val="21"/>
        </w:rPr>
      </w:pPr>
      <w:r>
        <w:rPr>
          <w:rFonts w:hint="eastAsia" w:ascii="宋体" w:hAnsi="宋体" w:cs="宋体"/>
          <w:bCs/>
          <w:szCs w:val="21"/>
        </w:rPr>
        <w:t>本合同一式贰份，中文书写。甲方、乙方各一份。</w:t>
      </w:r>
    </w:p>
    <w:p>
      <w:pPr>
        <w:spacing w:line="360" w:lineRule="auto"/>
        <w:ind w:firstLine="420" w:firstLineChars="200"/>
        <w:rPr>
          <w:rFonts w:ascii="宋体" w:hAnsi="宋体" w:cs="宋体"/>
          <w:bCs/>
          <w:szCs w:val="21"/>
        </w:rPr>
      </w:pPr>
    </w:p>
    <w:p>
      <w:pPr>
        <w:spacing w:line="360" w:lineRule="auto"/>
        <w:ind w:firstLine="422" w:firstLineChars="200"/>
        <w:rPr>
          <w:rFonts w:ascii="宋体" w:hAnsi="宋体" w:cs="宋体"/>
          <w:b/>
          <w:szCs w:val="21"/>
          <w:u w:val="single"/>
        </w:rPr>
      </w:pPr>
      <w:r>
        <w:rPr>
          <w:rFonts w:hint="eastAsia" w:ascii="宋体" w:hAnsi="宋体" w:cs="宋体"/>
          <w:b/>
          <w:szCs w:val="21"/>
        </w:rPr>
        <w:t>甲方：</w:t>
      </w:r>
      <w:r>
        <w:rPr>
          <w:rFonts w:hint="eastAsia" w:ascii="宋体" w:hAnsi="宋体" w:cs="宋体"/>
          <w:b/>
          <w:szCs w:val="21"/>
          <w:u w:val="single"/>
        </w:rPr>
        <w:t xml:space="preserve">               （盖章）</w:t>
      </w:r>
    </w:p>
    <w:p>
      <w:pPr>
        <w:spacing w:line="360" w:lineRule="auto"/>
        <w:ind w:firstLine="420" w:firstLineChars="200"/>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spacing w:line="360" w:lineRule="auto"/>
        <w:ind w:firstLine="420" w:firstLineChars="200"/>
        <w:rPr>
          <w:rFonts w:ascii="宋体" w:hAnsi="宋体" w:cs="宋体"/>
          <w:szCs w:val="21"/>
          <w:u w:val="single"/>
        </w:rPr>
      </w:pPr>
      <w:r>
        <w:rPr>
          <w:rFonts w:hint="eastAsia" w:ascii="宋体" w:hAnsi="宋体" w:cs="宋体"/>
          <w:szCs w:val="21"/>
        </w:rPr>
        <w:t>法定（授权）代表人：</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二〇二</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日</w:t>
      </w:r>
    </w:p>
    <w:p>
      <w:pPr>
        <w:spacing w:line="360" w:lineRule="auto"/>
        <w:ind w:firstLine="422" w:firstLineChars="200"/>
        <w:rPr>
          <w:rFonts w:ascii="宋体" w:hAnsi="宋体" w:cs="宋体"/>
          <w:b/>
          <w:szCs w:val="21"/>
        </w:rPr>
      </w:pPr>
    </w:p>
    <w:p>
      <w:pPr>
        <w:spacing w:line="360" w:lineRule="auto"/>
        <w:ind w:firstLine="422" w:firstLineChars="200"/>
        <w:rPr>
          <w:rFonts w:ascii="宋体" w:hAnsi="宋体" w:cs="宋体"/>
          <w:szCs w:val="21"/>
        </w:rPr>
      </w:pPr>
      <w:r>
        <w:rPr>
          <w:rFonts w:hint="eastAsia" w:ascii="宋体" w:hAnsi="宋体" w:cs="宋体"/>
          <w:b/>
          <w:szCs w:val="21"/>
        </w:rPr>
        <w:t>乙方：</w:t>
      </w:r>
      <w:bookmarkStart w:id="142" w:name="suppliers_name_one"/>
      <w:bookmarkEnd w:id="142"/>
      <w:r>
        <w:rPr>
          <w:rFonts w:hint="eastAsia" w:ascii="宋体" w:hAnsi="宋体" w:cs="宋体"/>
          <w:b/>
          <w:szCs w:val="21"/>
          <w:u w:val="single"/>
        </w:rPr>
        <w:t xml:space="preserve">              （盖章）</w:t>
      </w:r>
    </w:p>
    <w:p>
      <w:pPr>
        <w:spacing w:line="360" w:lineRule="auto"/>
        <w:ind w:firstLine="420" w:firstLineChars="200"/>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法定（授权）代表人：</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二〇二</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户名：</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pPr>
        <w:spacing w:line="360" w:lineRule="auto"/>
        <w:ind w:firstLine="420" w:firstLineChars="200"/>
        <w:rPr>
          <w:rFonts w:ascii="宋体" w:hAnsi="宋体" w:cs="宋体"/>
          <w:kern w:val="0"/>
          <w:szCs w:val="21"/>
        </w:rPr>
      </w:pPr>
      <w:r>
        <w:rPr>
          <w:rFonts w:hint="eastAsia" w:ascii="宋体" w:hAnsi="宋体" w:cs="宋体"/>
          <w:szCs w:val="21"/>
        </w:rPr>
        <w:t>账号：</w:t>
      </w:r>
      <w:r>
        <w:rPr>
          <w:rFonts w:hint="eastAsia" w:ascii="宋体" w:hAnsi="宋体" w:cs="宋体"/>
          <w:szCs w:val="21"/>
          <w:u w:val="single"/>
        </w:rPr>
        <w:t xml:space="preserve">                       </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rPr>
          <w:rFonts w:ascii="宋体" w:hAnsi="宋体" w:cs="宋体"/>
          <w:kern w:val="0"/>
          <w:szCs w:val="21"/>
        </w:rPr>
      </w:pPr>
    </w:p>
    <w:p>
      <w:pPr>
        <w:pStyle w:val="4"/>
        <w:ind w:firstLine="0"/>
        <w:rPr>
          <w:rFonts w:ascii="宋体" w:hAnsi="宋体" w:cs="宋体"/>
          <w:kern w:val="0"/>
          <w:szCs w:val="21"/>
        </w:rPr>
      </w:pPr>
    </w:p>
    <w:p>
      <w:pPr>
        <w:widowControl/>
        <w:jc w:val="left"/>
        <w:rPr>
          <w:rFonts w:ascii="宋体" w:hAnsi="宋体" w:cs="宋体"/>
          <w:kern w:val="0"/>
          <w:szCs w:val="21"/>
        </w:rPr>
      </w:pPr>
      <w:r>
        <w:rPr>
          <w:rFonts w:ascii="宋体" w:hAnsi="宋体" w:cs="宋体"/>
          <w:kern w:val="0"/>
          <w:szCs w:val="21"/>
        </w:rPr>
        <w:br w:type="page"/>
      </w:r>
    </w:p>
    <w:p>
      <w:pPr>
        <w:pStyle w:val="4"/>
        <w:rPr>
          <w:rFonts w:ascii="宋体" w:hAnsi="宋体" w:cs="宋体"/>
          <w:kern w:val="0"/>
          <w:szCs w:val="21"/>
        </w:rPr>
      </w:pPr>
    </w:p>
    <w:p>
      <w:pPr>
        <w:pStyle w:val="2"/>
        <w:numPr>
          <w:ilvl w:val="0"/>
          <w:numId w:val="9"/>
        </w:numPr>
        <w:rPr>
          <w:rFonts w:ascii="宋体" w:hAnsi="宋体" w:cs="宋体"/>
          <w:sz w:val="28"/>
          <w:szCs w:val="28"/>
        </w:rPr>
      </w:pPr>
      <w:bookmarkStart w:id="143" w:name="_Toc2004"/>
      <w:r>
        <w:rPr>
          <w:rFonts w:hint="eastAsia" w:ascii="宋体" w:hAnsi="宋体" w:cs="宋体"/>
          <w:sz w:val="28"/>
          <w:szCs w:val="28"/>
        </w:rPr>
        <w:t>项目需求</w:t>
      </w:r>
      <w:bookmarkEnd w:id="143"/>
    </w:p>
    <w:p>
      <w:pPr>
        <w:pStyle w:val="44"/>
        <w:spacing w:line="440" w:lineRule="exact"/>
        <w:ind w:left="420" w:firstLine="0" w:firstLineChars="0"/>
        <w:rPr>
          <w:rFonts w:ascii="宋体" w:hAnsi="宋体" w:cs="宋体"/>
          <w:b/>
          <w:bCs/>
          <w:szCs w:val="21"/>
        </w:rPr>
      </w:pPr>
      <w:bookmarkStart w:id="144" w:name="_Toc23828480"/>
      <w:bookmarkStart w:id="145" w:name="_Toc61149622"/>
      <w:bookmarkStart w:id="146" w:name="_Toc26554097"/>
      <w:r>
        <w:rPr>
          <w:rFonts w:hint="eastAsia" w:ascii="宋体" w:hAnsi="宋体" w:cs="宋体"/>
          <w:b/>
          <w:bCs/>
          <w:szCs w:val="21"/>
        </w:rPr>
        <w:t>一、采购项目</w:t>
      </w:r>
    </w:p>
    <w:tbl>
      <w:tblPr>
        <w:tblStyle w:val="29"/>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57"/>
        <w:gridCol w:w="2996"/>
        <w:gridCol w:w="851"/>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序号</w:t>
            </w:r>
          </w:p>
        </w:tc>
        <w:tc>
          <w:tcPr>
            <w:tcW w:w="2957" w:type="dxa"/>
            <w:vAlign w:val="center"/>
          </w:tcPr>
          <w:p>
            <w:pPr>
              <w:jc w:val="center"/>
              <w:rPr>
                <w:szCs w:val="21"/>
              </w:rPr>
            </w:pPr>
            <w:r>
              <w:rPr>
                <w:rFonts w:hint="eastAsia"/>
                <w:szCs w:val="21"/>
              </w:rPr>
              <w:t>产品名称</w:t>
            </w:r>
          </w:p>
        </w:tc>
        <w:tc>
          <w:tcPr>
            <w:tcW w:w="2996" w:type="dxa"/>
            <w:vAlign w:val="center"/>
          </w:tcPr>
          <w:p>
            <w:pPr>
              <w:jc w:val="center"/>
              <w:rPr>
                <w:szCs w:val="21"/>
              </w:rPr>
            </w:pPr>
            <w:r>
              <w:rPr>
                <w:rFonts w:hint="eastAsia"/>
                <w:szCs w:val="21"/>
              </w:rPr>
              <w:t>产品规格要求</w:t>
            </w:r>
          </w:p>
        </w:tc>
        <w:tc>
          <w:tcPr>
            <w:tcW w:w="851" w:type="dxa"/>
            <w:vAlign w:val="center"/>
          </w:tcPr>
          <w:p>
            <w:pPr>
              <w:jc w:val="center"/>
              <w:rPr>
                <w:szCs w:val="21"/>
              </w:rPr>
            </w:pPr>
            <w:r>
              <w:rPr>
                <w:rFonts w:hint="eastAsia"/>
                <w:szCs w:val="21"/>
              </w:rPr>
              <w:t>数量</w:t>
            </w:r>
          </w:p>
        </w:tc>
        <w:tc>
          <w:tcPr>
            <w:tcW w:w="845"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1</w:t>
            </w:r>
          </w:p>
        </w:tc>
        <w:tc>
          <w:tcPr>
            <w:tcW w:w="2957" w:type="dxa"/>
            <w:vAlign w:val="center"/>
          </w:tcPr>
          <w:p>
            <w:pPr>
              <w:jc w:val="center"/>
              <w:rPr>
                <w:szCs w:val="21"/>
              </w:rPr>
            </w:pPr>
            <w:r>
              <w:rPr>
                <w:rFonts w:hint="eastAsia"/>
                <w:szCs w:val="21"/>
              </w:rPr>
              <w:t>无人机自动机场及配套无人机</w:t>
            </w:r>
          </w:p>
        </w:tc>
        <w:tc>
          <w:tcPr>
            <w:tcW w:w="2996" w:type="dxa"/>
            <w:vAlign w:val="center"/>
          </w:tcPr>
          <w:p>
            <w:pPr>
              <w:jc w:val="center"/>
              <w:rPr>
                <w:szCs w:val="21"/>
              </w:rPr>
            </w:pPr>
            <w:r>
              <w:rPr>
                <w:rFonts w:hint="eastAsia"/>
                <w:szCs w:val="21"/>
              </w:rPr>
              <w:t>详见技术规范书（多旋翼飞行平台）</w:t>
            </w:r>
          </w:p>
        </w:tc>
        <w:tc>
          <w:tcPr>
            <w:tcW w:w="851" w:type="dxa"/>
            <w:vAlign w:val="center"/>
          </w:tcPr>
          <w:p>
            <w:pPr>
              <w:jc w:val="center"/>
              <w:rPr>
                <w:szCs w:val="21"/>
              </w:rPr>
            </w:pPr>
            <w:r>
              <w:rPr>
                <w:rFonts w:hint="eastAsia"/>
                <w:szCs w:val="21"/>
              </w:rPr>
              <w:t>1套</w:t>
            </w:r>
          </w:p>
        </w:tc>
        <w:tc>
          <w:tcPr>
            <w:tcW w:w="8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2</w:t>
            </w:r>
          </w:p>
        </w:tc>
        <w:tc>
          <w:tcPr>
            <w:tcW w:w="2957" w:type="dxa"/>
            <w:vAlign w:val="center"/>
          </w:tcPr>
          <w:p>
            <w:pPr>
              <w:jc w:val="center"/>
              <w:rPr>
                <w:szCs w:val="21"/>
              </w:rPr>
            </w:pPr>
            <w:r>
              <w:rPr>
                <w:rFonts w:hint="eastAsia"/>
                <w:szCs w:val="21"/>
              </w:rPr>
              <w:t>机场及无人机相关配件</w:t>
            </w:r>
          </w:p>
        </w:tc>
        <w:tc>
          <w:tcPr>
            <w:tcW w:w="2996" w:type="dxa"/>
            <w:vAlign w:val="center"/>
          </w:tcPr>
          <w:p>
            <w:pPr>
              <w:jc w:val="center"/>
              <w:rPr>
                <w:szCs w:val="21"/>
              </w:rPr>
            </w:pPr>
            <w:r>
              <w:rPr>
                <w:rFonts w:hint="eastAsia"/>
                <w:szCs w:val="21"/>
              </w:rPr>
              <w:t>包含探照灯、喊话器、5组备用电池及遥控器</w:t>
            </w:r>
          </w:p>
        </w:tc>
        <w:tc>
          <w:tcPr>
            <w:tcW w:w="851" w:type="dxa"/>
            <w:vAlign w:val="center"/>
          </w:tcPr>
          <w:p>
            <w:pPr>
              <w:jc w:val="center"/>
              <w:rPr>
                <w:szCs w:val="21"/>
              </w:rPr>
            </w:pPr>
            <w:r>
              <w:rPr>
                <w:rFonts w:hint="eastAsia"/>
                <w:szCs w:val="21"/>
              </w:rPr>
              <w:t>1套</w:t>
            </w:r>
          </w:p>
        </w:tc>
        <w:tc>
          <w:tcPr>
            <w:tcW w:w="8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3</w:t>
            </w:r>
          </w:p>
        </w:tc>
        <w:tc>
          <w:tcPr>
            <w:tcW w:w="2957" w:type="dxa"/>
            <w:vAlign w:val="center"/>
          </w:tcPr>
          <w:p>
            <w:pPr>
              <w:jc w:val="center"/>
              <w:rPr>
                <w:szCs w:val="21"/>
              </w:rPr>
            </w:pPr>
            <w:r>
              <w:rPr>
                <w:rFonts w:hint="eastAsia"/>
                <w:szCs w:val="21"/>
              </w:rPr>
              <w:t>无人机网联终端</w:t>
            </w:r>
          </w:p>
        </w:tc>
        <w:tc>
          <w:tcPr>
            <w:tcW w:w="2996" w:type="dxa"/>
            <w:vAlign w:val="center"/>
          </w:tcPr>
          <w:p>
            <w:pPr>
              <w:jc w:val="center"/>
              <w:rPr>
                <w:szCs w:val="21"/>
              </w:rPr>
            </w:pPr>
            <w:r>
              <w:rPr>
                <w:rFonts w:hint="eastAsia"/>
                <w:szCs w:val="21"/>
              </w:rPr>
              <w:t>详见技术规范书（无人机网联终端）</w:t>
            </w:r>
          </w:p>
        </w:tc>
        <w:tc>
          <w:tcPr>
            <w:tcW w:w="851" w:type="dxa"/>
            <w:vAlign w:val="center"/>
          </w:tcPr>
          <w:p>
            <w:pPr>
              <w:jc w:val="center"/>
              <w:rPr>
                <w:szCs w:val="21"/>
              </w:rPr>
            </w:pPr>
            <w:r>
              <w:rPr>
                <w:rFonts w:hint="eastAsia"/>
                <w:szCs w:val="21"/>
              </w:rPr>
              <w:t>1套</w:t>
            </w:r>
          </w:p>
        </w:tc>
        <w:tc>
          <w:tcPr>
            <w:tcW w:w="8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4</w:t>
            </w:r>
          </w:p>
        </w:tc>
        <w:tc>
          <w:tcPr>
            <w:tcW w:w="2957" w:type="dxa"/>
            <w:vAlign w:val="center"/>
          </w:tcPr>
          <w:p>
            <w:pPr>
              <w:jc w:val="center"/>
              <w:rPr>
                <w:szCs w:val="21"/>
              </w:rPr>
            </w:pPr>
            <w:r>
              <w:rPr>
                <w:rFonts w:hint="eastAsia"/>
                <w:szCs w:val="21"/>
              </w:rPr>
              <w:t>无人机管理平台</w:t>
            </w:r>
          </w:p>
        </w:tc>
        <w:tc>
          <w:tcPr>
            <w:tcW w:w="2996" w:type="dxa"/>
            <w:vAlign w:val="center"/>
          </w:tcPr>
          <w:p>
            <w:pPr>
              <w:jc w:val="center"/>
              <w:rPr>
                <w:szCs w:val="21"/>
              </w:rPr>
            </w:pPr>
            <w:r>
              <w:rPr>
                <w:rFonts w:hint="eastAsia"/>
                <w:szCs w:val="21"/>
              </w:rPr>
              <w:t>3年期</w:t>
            </w:r>
          </w:p>
        </w:tc>
        <w:tc>
          <w:tcPr>
            <w:tcW w:w="851" w:type="dxa"/>
            <w:vAlign w:val="center"/>
          </w:tcPr>
          <w:p>
            <w:pPr>
              <w:jc w:val="center"/>
              <w:rPr>
                <w:szCs w:val="21"/>
              </w:rPr>
            </w:pPr>
            <w:r>
              <w:rPr>
                <w:rFonts w:hint="eastAsia"/>
                <w:szCs w:val="21"/>
              </w:rPr>
              <w:t>1套</w:t>
            </w:r>
          </w:p>
        </w:tc>
        <w:tc>
          <w:tcPr>
            <w:tcW w:w="8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5</w:t>
            </w:r>
          </w:p>
        </w:tc>
        <w:tc>
          <w:tcPr>
            <w:tcW w:w="2957" w:type="dxa"/>
            <w:vAlign w:val="center"/>
          </w:tcPr>
          <w:p>
            <w:pPr>
              <w:jc w:val="center"/>
              <w:rPr>
                <w:szCs w:val="21"/>
              </w:rPr>
            </w:pPr>
            <w:r>
              <w:rPr>
                <w:rFonts w:hint="eastAsia"/>
                <w:szCs w:val="21"/>
              </w:rPr>
              <w:t>行业无忧保险</w:t>
            </w:r>
          </w:p>
        </w:tc>
        <w:tc>
          <w:tcPr>
            <w:tcW w:w="2996" w:type="dxa"/>
            <w:vAlign w:val="center"/>
          </w:tcPr>
          <w:p>
            <w:pPr>
              <w:jc w:val="center"/>
              <w:rPr>
                <w:szCs w:val="21"/>
              </w:rPr>
            </w:pPr>
            <w:r>
              <w:rPr>
                <w:rFonts w:hint="eastAsia"/>
                <w:szCs w:val="21"/>
              </w:rPr>
              <w:t>3年期</w:t>
            </w:r>
          </w:p>
        </w:tc>
        <w:tc>
          <w:tcPr>
            <w:tcW w:w="851" w:type="dxa"/>
            <w:vAlign w:val="center"/>
          </w:tcPr>
          <w:p>
            <w:pPr>
              <w:jc w:val="center"/>
              <w:rPr>
                <w:szCs w:val="21"/>
              </w:rPr>
            </w:pPr>
            <w:r>
              <w:rPr>
                <w:rFonts w:hint="eastAsia"/>
                <w:szCs w:val="21"/>
              </w:rPr>
              <w:t>1套</w:t>
            </w:r>
          </w:p>
        </w:tc>
        <w:tc>
          <w:tcPr>
            <w:tcW w:w="8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6</w:t>
            </w:r>
          </w:p>
        </w:tc>
        <w:tc>
          <w:tcPr>
            <w:tcW w:w="2957" w:type="dxa"/>
            <w:vAlign w:val="center"/>
          </w:tcPr>
          <w:p>
            <w:pPr>
              <w:jc w:val="center"/>
              <w:rPr>
                <w:szCs w:val="21"/>
              </w:rPr>
            </w:pPr>
            <w:r>
              <w:rPr>
                <w:rFonts w:hint="eastAsia"/>
                <w:szCs w:val="21"/>
              </w:rPr>
              <w:t>巡检保养</w:t>
            </w:r>
          </w:p>
        </w:tc>
        <w:tc>
          <w:tcPr>
            <w:tcW w:w="2996" w:type="dxa"/>
            <w:vAlign w:val="center"/>
          </w:tcPr>
          <w:p>
            <w:pPr>
              <w:jc w:val="center"/>
              <w:rPr>
                <w:szCs w:val="21"/>
              </w:rPr>
            </w:pPr>
            <w:r>
              <w:rPr>
                <w:rFonts w:hint="eastAsia"/>
                <w:szCs w:val="21"/>
              </w:rPr>
              <w:t>年度上门保养</w:t>
            </w:r>
          </w:p>
          <w:p>
            <w:pPr>
              <w:jc w:val="center"/>
              <w:rPr>
                <w:szCs w:val="21"/>
              </w:rPr>
            </w:pPr>
            <w:r>
              <w:rPr>
                <w:rFonts w:hint="eastAsia"/>
                <w:szCs w:val="21"/>
              </w:rPr>
              <w:t>（含保养所需物料）</w:t>
            </w:r>
          </w:p>
        </w:tc>
        <w:tc>
          <w:tcPr>
            <w:tcW w:w="851" w:type="dxa"/>
            <w:vAlign w:val="center"/>
          </w:tcPr>
          <w:p>
            <w:pPr>
              <w:jc w:val="center"/>
              <w:rPr>
                <w:szCs w:val="21"/>
              </w:rPr>
            </w:pPr>
            <w:r>
              <w:rPr>
                <w:rFonts w:hint="eastAsia"/>
                <w:szCs w:val="21"/>
              </w:rPr>
              <w:t>3次</w:t>
            </w:r>
          </w:p>
        </w:tc>
        <w:tc>
          <w:tcPr>
            <w:tcW w:w="8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7</w:t>
            </w:r>
          </w:p>
        </w:tc>
        <w:tc>
          <w:tcPr>
            <w:tcW w:w="2957" w:type="dxa"/>
            <w:vAlign w:val="center"/>
          </w:tcPr>
          <w:p>
            <w:pPr>
              <w:jc w:val="center"/>
              <w:rPr>
                <w:szCs w:val="21"/>
              </w:rPr>
            </w:pPr>
            <w:r>
              <w:rPr>
                <w:rFonts w:hint="eastAsia"/>
                <w:szCs w:val="21"/>
              </w:rPr>
              <w:t>垂直起降无人机巡查服务</w:t>
            </w:r>
          </w:p>
        </w:tc>
        <w:tc>
          <w:tcPr>
            <w:tcW w:w="2996" w:type="dxa"/>
            <w:vAlign w:val="center"/>
          </w:tcPr>
          <w:p>
            <w:pPr>
              <w:jc w:val="center"/>
              <w:rPr>
                <w:szCs w:val="21"/>
              </w:rPr>
            </w:pPr>
            <w:r>
              <w:rPr>
                <w:rFonts w:hint="eastAsia"/>
                <w:szCs w:val="21"/>
              </w:rPr>
              <w:t>提供垂直起降无人机全范围巡查服务(一次两天)，使用的相关设备符合技术规范书要求</w:t>
            </w:r>
          </w:p>
        </w:tc>
        <w:tc>
          <w:tcPr>
            <w:tcW w:w="851" w:type="dxa"/>
            <w:vAlign w:val="center"/>
          </w:tcPr>
          <w:p>
            <w:pPr>
              <w:jc w:val="center"/>
              <w:rPr>
                <w:szCs w:val="21"/>
              </w:rPr>
            </w:pPr>
            <w:r>
              <w:rPr>
                <w:szCs w:val="21"/>
              </w:rPr>
              <w:t>4</w:t>
            </w:r>
            <w:r>
              <w:rPr>
                <w:rFonts w:hint="eastAsia"/>
                <w:szCs w:val="21"/>
              </w:rPr>
              <w:t>次</w:t>
            </w:r>
          </w:p>
        </w:tc>
        <w:tc>
          <w:tcPr>
            <w:tcW w:w="8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8</w:t>
            </w:r>
          </w:p>
        </w:tc>
        <w:tc>
          <w:tcPr>
            <w:tcW w:w="2957" w:type="dxa"/>
            <w:vAlign w:val="center"/>
          </w:tcPr>
          <w:p>
            <w:pPr>
              <w:jc w:val="center"/>
              <w:rPr>
                <w:szCs w:val="21"/>
              </w:rPr>
            </w:pPr>
            <w:r>
              <w:rPr>
                <w:rFonts w:hint="eastAsia"/>
                <w:szCs w:val="21"/>
              </w:rPr>
              <w:t>各设备及系统安装部署服务</w:t>
            </w:r>
          </w:p>
        </w:tc>
        <w:tc>
          <w:tcPr>
            <w:tcW w:w="2996" w:type="dxa"/>
            <w:vAlign w:val="center"/>
          </w:tcPr>
          <w:p>
            <w:pPr>
              <w:jc w:val="center"/>
              <w:rPr>
                <w:szCs w:val="21"/>
              </w:rPr>
            </w:pPr>
          </w:p>
        </w:tc>
        <w:tc>
          <w:tcPr>
            <w:tcW w:w="851" w:type="dxa"/>
            <w:vAlign w:val="center"/>
          </w:tcPr>
          <w:p>
            <w:pPr>
              <w:jc w:val="center"/>
              <w:rPr>
                <w:szCs w:val="21"/>
              </w:rPr>
            </w:pPr>
            <w:r>
              <w:rPr>
                <w:rFonts w:hint="eastAsia"/>
                <w:szCs w:val="21"/>
              </w:rPr>
              <w:t>1套</w:t>
            </w:r>
          </w:p>
        </w:tc>
        <w:tc>
          <w:tcPr>
            <w:tcW w:w="845" w:type="dxa"/>
            <w:vAlign w:val="center"/>
          </w:tcPr>
          <w:p>
            <w:pPr>
              <w:jc w:val="center"/>
              <w:rPr>
                <w:szCs w:val="21"/>
              </w:rPr>
            </w:pPr>
          </w:p>
        </w:tc>
      </w:tr>
    </w:tbl>
    <w:p>
      <w:pPr>
        <w:jc w:val="left"/>
        <w:rPr>
          <w:sz w:val="28"/>
          <w:szCs w:val="28"/>
        </w:rPr>
      </w:pPr>
    </w:p>
    <w:p>
      <w:pPr>
        <w:widowControl/>
        <w:jc w:val="left"/>
        <w:rPr>
          <w:sz w:val="28"/>
          <w:szCs w:val="28"/>
        </w:rPr>
      </w:pPr>
      <w:r>
        <w:rPr>
          <w:sz w:val="28"/>
          <w:szCs w:val="28"/>
        </w:rPr>
        <w:br w:type="page"/>
      </w:r>
    </w:p>
    <w:p>
      <w:pPr>
        <w:jc w:val="left"/>
        <w:rPr>
          <w:sz w:val="28"/>
          <w:szCs w:val="28"/>
        </w:rPr>
      </w:pPr>
    </w:p>
    <w:p>
      <w:pPr>
        <w:pStyle w:val="2"/>
        <w:rPr>
          <w:rFonts w:ascii="等线" w:hAnsi="等线" w:eastAsia="等线"/>
          <w:b w:val="0"/>
          <w:bCs/>
          <w:sz w:val="28"/>
          <w:szCs w:val="32"/>
        </w:rPr>
      </w:pPr>
      <w:bookmarkStart w:id="147" w:name="_Toc12145"/>
      <w:r>
        <w:rPr>
          <w:rFonts w:hint="eastAsia" w:ascii="宋体" w:hAnsi="宋体" w:cs="宋体"/>
          <w:sz w:val="28"/>
          <w:szCs w:val="28"/>
        </w:rPr>
        <w:t>第五章 技术规范书</w:t>
      </w:r>
    </w:p>
    <w:p>
      <w:pPr>
        <w:rPr>
          <w:rFonts w:ascii="等线" w:hAnsi="等线" w:eastAsia="等线"/>
          <w:b/>
          <w:bCs/>
          <w:sz w:val="28"/>
          <w:szCs w:val="32"/>
        </w:rPr>
      </w:pPr>
      <w:r>
        <w:rPr>
          <w:rFonts w:hint="eastAsia" w:ascii="等线" w:hAnsi="等线" w:eastAsia="等线"/>
          <w:b/>
          <w:bCs/>
          <w:sz w:val="28"/>
          <w:szCs w:val="32"/>
        </w:rPr>
        <w:t>标注“★”的为不可偏离项，必须满足其要求</w:t>
      </w:r>
    </w:p>
    <w:p>
      <w:pPr>
        <w:rPr>
          <w:rFonts w:ascii="等线" w:hAnsi="等线" w:eastAsia="等线"/>
          <w:b/>
          <w:bCs/>
          <w:sz w:val="28"/>
          <w:szCs w:val="32"/>
        </w:rPr>
      </w:pPr>
      <w:r>
        <w:rPr>
          <w:rFonts w:hint="eastAsia" w:ascii="等线" w:hAnsi="等线" w:eastAsia="等线"/>
          <w:b/>
          <w:bCs/>
          <w:sz w:val="28"/>
          <w:szCs w:val="32"/>
        </w:rPr>
        <w:t>标注“▲”的为实际应用重要参数项</w:t>
      </w:r>
    </w:p>
    <w:p>
      <w:pPr>
        <w:rPr>
          <w:rFonts w:ascii="Times New Roman" w:hAnsi="Times New Roman"/>
          <w:b/>
          <w:bCs/>
          <w:sz w:val="28"/>
          <w:szCs w:val="32"/>
        </w:rPr>
      </w:pPr>
      <w:r>
        <w:rPr>
          <w:rFonts w:hint="eastAsia" w:ascii="Times New Roman" w:hAnsi="Times New Roman"/>
          <w:b/>
          <w:bCs/>
          <w:sz w:val="28"/>
          <w:szCs w:val="32"/>
        </w:rPr>
        <w:t>（一）垂直起降巡查服务飞行平台</w:t>
      </w:r>
    </w:p>
    <w:tbl>
      <w:tblPr>
        <w:tblStyle w:val="28"/>
        <w:tblW w:w="9354" w:type="dxa"/>
        <w:tblInd w:w="0" w:type="dxa"/>
        <w:shd w:val="clear" w:color="auto" w:fill="FFFFFF" w:themeFill="background1"/>
        <w:tblLayout w:type="fixed"/>
        <w:tblCellMar>
          <w:top w:w="0" w:type="dxa"/>
          <w:left w:w="108" w:type="dxa"/>
          <w:bottom w:w="0" w:type="dxa"/>
          <w:right w:w="108" w:type="dxa"/>
        </w:tblCellMar>
      </w:tblPr>
      <w:tblGrid>
        <w:gridCol w:w="2576"/>
        <w:gridCol w:w="6778"/>
      </w:tblGrid>
      <w:tr>
        <w:tblPrEx>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0" w:lineRule="atLeast"/>
              <w:rPr>
                <w:rFonts w:ascii="Times New Roman" w:hAnsi="Times New Roman"/>
                <w:kern w:val="0"/>
                <w:sz w:val="22"/>
              </w:rPr>
            </w:pPr>
            <w:r>
              <w:rPr>
                <w:rFonts w:hint="eastAsia" w:ascii="Times New Roman" w:hAnsi="Times New Roman"/>
                <w:kern w:val="0"/>
                <w:sz w:val="20"/>
                <w:szCs w:val="20"/>
              </w:rPr>
              <w:t>★</w:t>
            </w:r>
            <w:r>
              <w:rPr>
                <w:rFonts w:hint="eastAsia" w:ascii="Times New Roman" w:hAnsi="Times New Roman"/>
                <w:b/>
                <w:kern w:val="0"/>
                <w:sz w:val="22"/>
              </w:rPr>
              <w:t>飞行平台-通用参数</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0" w:lineRule="atLeast"/>
              <w:rPr>
                <w:rFonts w:ascii="Times New Roman" w:hAnsi="Times New Roman"/>
                <w:bCs/>
                <w:kern w:val="0"/>
                <w:sz w:val="22"/>
              </w:rPr>
            </w:pPr>
            <w:r>
              <w:rPr>
                <w:rFonts w:hint="eastAsia" w:ascii="Times New Roman" w:hAnsi="Times New Roman"/>
                <w:bCs/>
                <w:kern w:val="0"/>
                <w:sz w:val="22"/>
              </w:rPr>
              <w:t>机身材料</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0" w:lineRule="atLeast"/>
              <w:rPr>
                <w:rFonts w:ascii="Times New Roman" w:hAnsi="Times New Roman"/>
                <w:bCs/>
                <w:kern w:val="0"/>
                <w:sz w:val="22"/>
              </w:rPr>
            </w:pPr>
            <w:r>
              <w:rPr>
                <w:rFonts w:hint="eastAsia" w:ascii="Times New Roman" w:hAnsi="Times New Roman"/>
                <w:bCs/>
                <w:kern w:val="0"/>
                <w:sz w:val="22"/>
              </w:rPr>
              <w:t>航空复合材料机身（包括但不限于碳纤维、玻璃纤维等常用航空复合材料）</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机型设计</w:t>
            </w:r>
          </w:p>
        </w:tc>
        <w:tc>
          <w:tcPr>
            <w:tcW w:w="67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固定翼与多旋翼结合的复合翼机型设计</w:t>
            </w:r>
          </w:p>
        </w:tc>
      </w:tr>
      <w:tr>
        <w:tblPrEx>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设备特征及动力系统</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垂直起降固定翼，纯电动动力系统</w:t>
            </w:r>
          </w:p>
        </w:tc>
      </w:tr>
      <w:tr>
        <w:tblPrEx>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尺寸</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长度≤</w:t>
            </w:r>
            <w:r>
              <w:rPr>
                <w:rFonts w:ascii="Times New Roman" w:hAnsi="Times New Roman"/>
                <w:kern w:val="0"/>
                <w:sz w:val="22"/>
              </w:rPr>
              <w:t>1.6m，翼展：≥3.3m</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最大起飞重量</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w:t>
            </w:r>
            <w:r>
              <w:rPr>
                <w:rFonts w:ascii="Times New Roman" w:hAnsi="Times New Roman"/>
                <w:kern w:val="0"/>
                <w:sz w:val="22"/>
              </w:rPr>
              <w:t>22kg</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2"/>
              </w:rPr>
            </w:pPr>
            <w:r>
              <w:rPr>
                <w:rFonts w:hint="eastAsia" w:ascii="宋体" w:hAnsi="宋体" w:cs="Arial"/>
                <w:b/>
                <w:color w:val="000000"/>
                <w:szCs w:val="21"/>
              </w:rPr>
              <w:t>▲</w:t>
            </w:r>
            <w:r>
              <w:rPr>
                <w:rFonts w:hint="eastAsia" w:ascii="Times New Roman" w:hAnsi="Times New Roman"/>
                <w:b/>
                <w:bCs/>
                <w:kern w:val="0"/>
                <w:sz w:val="22"/>
              </w:rPr>
              <w:t>飞行平台-性能指标</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部署及回收效率</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整体模块化设计</w:t>
            </w:r>
          </w:p>
          <w:p>
            <w:pPr>
              <w:widowControl/>
              <w:rPr>
                <w:rFonts w:ascii="Times New Roman" w:hAnsi="Times New Roman"/>
                <w:kern w:val="0"/>
                <w:sz w:val="22"/>
              </w:rPr>
            </w:pPr>
            <w:r>
              <w:rPr>
                <w:rFonts w:hint="eastAsia" w:ascii="Times New Roman" w:hAnsi="Times New Roman"/>
                <w:kern w:val="0"/>
                <w:sz w:val="22"/>
              </w:rPr>
              <w:t>从携行状态到起飞状态展开时间≤</w:t>
            </w:r>
            <w:r>
              <w:rPr>
                <w:rFonts w:ascii="Times New Roman" w:hAnsi="Times New Roman"/>
                <w:kern w:val="0"/>
                <w:sz w:val="22"/>
              </w:rPr>
              <w:t>10min</w:t>
            </w:r>
          </w:p>
          <w:p>
            <w:pPr>
              <w:widowControl/>
              <w:rPr>
                <w:rFonts w:ascii="Times New Roman" w:hAnsi="Times New Roman"/>
                <w:kern w:val="0"/>
                <w:sz w:val="22"/>
              </w:rPr>
            </w:pPr>
            <w:r>
              <w:rPr>
                <w:rFonts w:ascii="Times New Roman" w:hAnsi="Times New Roman"/>
                <w:kern w:val="0"/>
                <w:sz w:val="22"/>
              </w:rPr>
              <w:t>从起飞状态到携行状态收撤时间≤10min</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最大续航时间</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w:t>
            </w:r>
            <w:r>
              <w:rPr>
                <w:rFonts w:ascii="Times New Roman" w:hAnsi="Times New Roman"/>
                <w:kern w:val="0"/>
                <w:sz w:val="22"/>
              </w:rPr>
              <w:t>150分钟</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最大飞行速度</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w:t>
            </w:r>
            <w:r>
              <w:rPr>
                <w:rFonts w:ascii="Times New Roman" w:hAnsi="Times New Roman"/>
                <w:kern w:val="0"/>
                <w:sz w:val="22"/>
              </w:rPr>
              <w:t>12m/s</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防雨能力</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highlight w:val="yellow"/>
              </w:rPr>
            </w:pPr>
            <w:r>
              <w:rPr>
                <w:rFonts w:hint="eastAsia" w:ascii="Times New Roman" w:hAnsi="Times New Roman"/>
                <w:kern w:val="0"/>
                <w:sz w:val="22"/>
              </w:rPr>
              <w:t>≥</w:t>
            </w:r>
            <w:r>
              <w:rPr>
                <w:rFonts w:ascii="Times New Roman" w:hAnsi="Times New Roman"/>
                <w:kern w:val="0"/>
                <w:sz w:val="22"/>
              </w:rPr>
              <w:t>6mm/min</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实用升限</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w:t>
            </w:r>
            <w:r>
              <w:rPr>
                <w:rFonts w:ascii="Times New Roman" w:hAnsi="Times New Roman"/>
                <w:kern w:val="0"/>
                <w:sz w:val="22"/>
              </w:rPr>
              <w:t>5000m</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测控传输距离</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w:t>
            </w:r>
            <w:r>
              <w:rPr>
                <w:rFonts w:ascii="Times New Roman" w:hAnsi="Times New Roman"/>
                <w:kern w:val="0"/>
                <w:sz w:val="22"/>
              </w:rPr>
              <w:t>30km（通视条件下）</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起降方式</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垂直起飞，垂直降落，支持动平台起降</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2"/>
              </w:rPr>
            </w:pPr>
            <w:r>
              <w:rPr>
                <w:rFonts w:hint="eastAsia" w:ascii="Times New Roman" w:hAnsi="Times New Roman"/>
                <w:b/>
                <w:bCs/>
                <w:kern w:val="0"/>
                <w:sz w:val="22"/>
              </w:rPr>
              <w:t>飞行平台-便携性</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机体包装尺寸</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w:t>
            </w:r>
            <w:r>
              <w:rPr>
                <w:rFonts w:ascii="Times New Roman" w:hAnsi="Times New Roman"/>
                <w:kern w:val="0"/>
                <w:sz w:val="22"/>
              </w:rPr>
              <w:t>1400mm(L)*600mm(W)*500mm(H)</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2"/>
              </w:rPr>
            </w:pPr>
            <w:r>
              <w:rPr>
                <w:rFonts w:hint="eastAsia" w:ascii="Times New Roman" w:hAnsi="Times New Roman"/>
                <w:b/>
                <w:bCs/>
                <w:kern w:val="0"/>
                <w:sz w:val="22"/>
              </w:rPr>
              <w:t>光电吊舱-应用需求</w:t>
            </w:r>
          </w:p>
        </w:tc>
      </w:tr>
      <w:tr>
        <w:tblPrEx>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宋体" w:hAnsi="宋体" w:cs="Arial"/>
                <w:b/>
                <w:color w:val="000000"/>
                <w:szCs w:val="21"/>
              </w:rPr>
              <w:t>★</w:t>
            </w:r>
            <w:r>
              <w:rPr>
                <w:rFonts w:hint="eastAsia" w:ascii="Times New Roman" w:hAnsi="Times New Roman"/>
                <w:kern w:val="0"/>
                <w:sz w:val="22"/>
              </w:rPr>
              <w:t>软件硬件要求</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集红外热成像机芯与高清变焦机芯于一体的双光吊舱</w:t>
            </w:r>
          </w:p>
          <w:p>
            <w:pPr>
              <w:widowControl/>
              <w:rPr>
                <w:rFonts w:ascii="Times New Roman" w:hAnsi="Times New Roman"/>
                <w:kern w:val="0"/>
                <w:sz w:val="22"/>
              </w:rPr>
            </w:pPr>
            <w:r>
              <w:rPr>
                <w:rFonts w:hint="eastAsia" w:ascii="Times New Roman" w:hAnsi="Times New Roman"/>
                <w:kern w:val="0"/>
                <w:sz w:val="22"/>
              </w:rPr>
              <w:t>集成式云台控制系统，可连接即插式云台</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宋体" w:hAnsi="宋体" w:cs="Arial"/>
                <w:b/>
                <w:color w:val="000000"/>
                <w:szCs w:val="21"/>
              </w:rPr>
              <w:t>★</w:t>
            </w:r>
            <w:r>
              <w:rPr>
                <w:rFonts w:hint="eastAsia" w:ascii="Times New Roman" w:hAnsi="Times New Roman"/>
                <w:kern w:val="0"/>
                <w:sz w:val="22"/>
              </w:rPr>
              <w:t>与飞行平台联动</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具备吊舱视觉引导飞行功能</w:t>
            </w:r>
          </w:p>
          <w:p>
            <w:pPr>
              <w:widowControl/>
              <w:rPr>
                <w:rFonts w:ascii="Times New Roman" w:hAnsi="Times New Roman"/>
                <w:kern w:val="0"/>
                <w:sz w:val="22"/>
              </w:rPr>
            </w:pPr>
            <w:r>
              <w:rPr>
                <w:rFonts w:hint="eastAsia" w:ascii="Times New Roman" w:hAnsi="Times New Roman"/>
                <w:kern w:val="0"/>
                <w:sz w:val="22"/>
              </w:rPr>
              <w:t>具备吊舱</w:t>
            </w:r>
            <w:r>
              <w:rPr>
                <w:rFonts w:ascii="Times New Roman" w:hAnsi="Times New Roman"/>
                <w:kern w:val="0"/>
                <w:sz w:val="22"/>
              </w:rPr>
              <w:t>FPV功能</w:t>
            </w:r>
          </w:p>
        </w:tc>
      </w:tr>
      <w:tr>
        <w:tblPrEx>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可见光光学变焦</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w:t>
            </w:r>
            <w:r>
              <w:rPr>
                <w:rFonts w:ascii="Times New Roman" w:hAnsi="Times New Roman"/>
                <w:kern w:val="0"/>
                <w:sz w:val="22"/>
              </w:rPr>
              <w:t>40倍</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跟踪</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具备一键跟踪移动目标能力</w:t>
            </w:r>
          </w:p>
          <w:p>
            <w:pPr>
              <w:widowControl/>
              <w:rPr>
                <w:rFonts w:ascii="Times New Roman" w:hAnsi="Times New Roman"/>
                <w:kern w:val="0"/>
                <w:sz w:val="22"/>
              </w:rPr>
            </w:pPr>
            <w:r>
              <w:rPr>
                <w:rFonts w:hint="eastAsia" w:ascii="Times New Roman" w:hAnsi="Times New Roman"/>
                <w:kern w:val="0"/>
                <w:sz w:val="22"/>
              </w:rPr>
              <w:t>具备跟踪中重新选定跟踪目标能力</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结构转动范围</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俯仰：</w:t>
            </w:r>
            <w:r>
              <w:rPr>
                <w:rFonts w:ascii="Times New Roman" w:hAnsi="Times New Roman"/>
                <w:kern w:val="0"/>
                <w:sz w:val="22"/>
              </w:rPr>
              <w:t>-130°~50°</w:t>
            </w:r>
          </w:p>
          <w:p>
            <w:pPr>
              <w:widowControl/>
              <w:rPr>
                <w:rFonts w:ascii="Times New Roman" w:hAnsi="Times New Roman"/>
                <w:kern w:val="0"/>
                <w:sz w:val="22"/>
              </w:rPr>
            </w:pPr>
            <w:r>
              <w:rPr>
                <w:rFonts w:ascii="Times New Roman" w:hAnsi="Times New Roman"/>
                <w:kern w:val="0"/>
                <w:sz w:val="22"/>
              </w:rPr>
              <w:t>横滚：-75°~+75°</w:t>
            </w:r>
          </w:p>
          <w:p>
            <w:pPr>
              <w:widowControl/>
              <w:rPr>
                <w:rFonts w:ascii="Times New Roman" w:hAnsi="Times New Roman"/>
                <w:kern w:val="0"/>
                <w:sz w:val="22"/>
              </w:rPr>
            </w:pPr>
            <w:r>
              <w:rPr>
                <w:rFonts w:ascii="Times New Roman" w:hAnsi="Times New Roman"/>
                <w:kern w:val="0"/>
                <w:sz w:val="22"/>
              </w:rPr>
              <w:t>航向：-175°~175</w:t>
            </w:r>
          </w:p>
        </w:tc>
      </w:tr>
      <w:tr>
        <w:tblPrEx>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云台控制范围</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俯仰</w:t>
            </w:r>
            <w:r>
              <w:rPr>
                <w:rFonts w:ascii="Times New Roman" w:hAnsi="Times New Roman"/>
                <w:kern w:val="0"/>
                <w:sz w:val="22"/>
              </w:rPr>
              <w:t>: -100°~45°;航向: -170°~170°</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测温范围</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ascii="Times New Roman" w:hAnsi="Times New Roman"/>
                <w:kern w:val="0"/>
                <w:sz w:val="22"/>
              </w:rPr>
              <w:t>-20°C ~ 60°C</w:t>
            </w:r>
          </w:p>
        </w:tc>
      </w:tr>
      <w:tr>
        <w:tblPrEx>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工作环境温度</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ascii="Times New Roman" w:hAnsi="Times New Roman"/>
                <w:kern w:val="0"/>
                <w:sz w:val="22"/>
              </w:rPr>
              <w:t>-20°C ~ 60°C</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可见光拍照参数</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Times New Roman" w:hAnsi="Times New Roman"/>
                <w:kern w:val="0"/>
                <w:sz w:val="22"/>
              </w:rPr>
              <w:t>像素≥</w:t>
            </w:r>
            <w:r>
              <w:rPr>
                <w:rFonts w:ascii="Times New Roman" w:hAnsi="Times New Roman"/>
                <w:kern w:val="0"/>
                <w:sz w:val="22"/>
              </w:rPr>
              <w:t xml:space="preserve"> 2500万，分辨率：</w:t>
            </w:r>
            <w:r>
              <w:rPr>
                <w:rFonts w:hint="eastAsia" w:ascii="Times New Roman" w:hAnsi="Times New Roman"/>
                <w:kern w:val="0"/>
                <w:sz w:val="22"/>
              </w:rPr>
              <w:t>≥</w:t>
            </w:r>
            <w:r>
              <w:rPr>
                <w:rFonts w:ascii="Times New Roman" w:hAnsi="Times New Roman"/>
                <w:kern w:val="0"/>
                <w:sz w:val="22"/>
              </w:rPr>
              <w:t>1920(H)*1080(V)</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hint="eastAsia" w:ascii="宋体" w:hAnsi="宋体" w:cs="Arial"/>
                <w:b/>
                <w:color w:val="000000"/>
                <w:szCs w:val="21"/>
              </w:rPr>
              <w:t>★</w:t>
            </w:r>
            <w:r>
              <w:rPr>
                <w:rFonts w:hint="eastAsia" w:ascii="Times New Roman" w:hAnsi="Times New Roman"/>
                <w:kern w:val="0"/>
                <w:sz w:val="22"/>
              </w:rPr>
              <w:t>光学变焦</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2"/>
              </w:rPr>
            </w:pPr>
            <w:r>
              <w:rPr>
                <w:rFonts w:ascii="Times New Roman" w:hAnsi="Times New Roman"/>
                <w:kern w:val="0"/>
                <w:sz w:val="22"/>
              </w:rPr>
              <w:t>40倍光学变焦双光吊舱（白光+热成像）</w:t>
            </w:r>
          </w:p>
        </w:tc>
      </w:tr>
    </w:tbl>
    <w:p>
      <w:pPr>
        <w:rPr>
          <w:rFonts w:ascii="Times New Roman" w:hAnsi="Times New Roman"/>
          <w:b/>
          <w:bCs/>
          <w:sz w:val="28"/>
          <w:szCs w:val="32"/>
        </w:rPr>
      </w:pPr>
    </w:p>
    <w:p>
      <w:pPr>
        <w:widowControl/>
        <w:jc w:val="left"/>
        <w:rPr>
          <w:rFonts w:ascii="Times New Roman" w:hAnsi="Times New Roman"/>
          <w:b/>
          <w:bCs/>
          <w:sz w:val="28"/>
          <w:szCs w:val="32"/>
        </w:rPr>
      </w:pPr>
      <w:r>
        <w:rPr>
          <w:rFonts w:ascii="Times New Roman" w:hAnsi="Times New Roman"/>
          <w:b/>
          <w:bCs/>
          <w:sz w:val="28"/>
          <w:szCs w:val="32"/>
        </w:rPr>
        <w:br w:type="page"/>
      </w:r>
    </w:p>
    <w:p>
      <w:pPr>
        <w:rPr>
          <w:rFonts w:ascii="Times New Roman" w:hAnsi="Times New Roman"/>
          <w:b/>
          <w:bCs/>
          <w:sz w:val="28"/>
          <w:szCs w:val="32"/>
        </w:rPr>
      </w:pPr>
      <w:r>
        <w:rPr>
          <w:rFonts w:hint="eastAsia" w:ascii="Times New Roman" w:hAnsi="Times New Roman"/>
          <w:b/>
          <w:bCs/>
          <w:sz w:val="28"/>
          <w:szCs w:val="32"/>
        </w:rPr>
        <w:t>（二）多旋翼飞行平台</w:t>
      </w:r>
    </w:p>
    <w:tbl>
      <w:tblPr>
        <w:tblStyle w:val="28"/>
        <w:tblW w:w="9354" w:type="dxa"/>
        <w:tblInd w:w="0" w:type="dxa"/>
        <w:shd w:val="clear" w:color="auto" w:fill="FFFFFF" w:themeFill="background1"/>
        <w:tblLayout w:type="fixed"/>
        <w:tblCellMar>
          <w:top w:w="0" w:type="dxa"/>
          <w:left w:w="108" w:type="dxa"/>
          <w:bottom w:w="0" w:type="dxa"/>
          <w:right w:w="108" w:type="dxa"/>
        </w:tblCellMar>
      </w:tblPr>
      <w:tblGrid>
        <w:gridCol w:w="2576"/>
        <w:gridCol w:w="6778"/>
      </w:tblGrid>
      <w:tr>
        <w:tblPrEx>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0" w:lineRule="atLeast"/>
              <w:rPr>
                <w:rFonts w:ascii="Times New Roman" w:hAnsi="Times New Roman"/>
                <w:kern w:val="0"/>
                <w:sz w:val="22"/>
              </w:rPr>
            </w:pPr>
            <w:r>
              <w:rPr>
                <w:rFonts w:ascii="Times New Roman" w:hAnsi="Times New Roman"/>
                <w:b/>
                <w:kern w:val="0"/>
                <w:sz w:val="22"/>
              </w:rPr>
              <w:t>机场-通用参数</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0" w:lineRule="atLeast"/>
              <w:rPr>
                <w:rFonts w:ascii="Times New Roman" w:hAnsi="Times New Roman"/>
                <w:bCs/>
                <w:kern w:val="0"/>
                <w:sz w:val="22"/>
              </w:rPr>
            </w:pPr>
            <w:r>
              <w:rPr>
                <w:rFonts w:ascii="Times New Roman" w:hAnsi="Times New Roman"/>
                <w:bCs/>
                <w:kern w:val="0"/>
                <w:sz w:val="22"/>
              </w:rPr>
              <w:t>整机重量</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0" w:lineRule="atLeast"/>
              <w:rPr>
                <w:rFonts w:ascii="Times New Roman" w:hAnsi="Times New Roman"/>
                <w:bCs/>
                <w:kern w:val="0"/>
                <w:sz w:val="22"/>
              </w:rPr>
            </w:pPr>
            <w:r>
              <w:rPr>
                <w:rFonts w:hint="eastAsia" w:ascii="Times New Roman" w:hAnsi="Times New Roman"/>
                <w:bCs/>
                <w:kern w:val="0"/>
                <w:sz w:val="22"/>
              </w:rPr>
              <w:t>不大于</w:t>
            </w:r>
            <w:r>
              <w:rPr>
                <w:rFonts w:ascii="Times New Roman" w:hAnsi="Times New Roman"/>
                <w:bCs/>
                <w:kern w:val="0"/>
                <w:sz w:val="22"/>
              </w:rPr>
              <w:t>34 千克（不包含飞行器）</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外形尺寸</w:t>
            </w:r>
          </w:p>
        </w:tc>
        <w:tc>
          <w:tcPr>
            <w:tcW w:w="67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舱盖开启</w:t>
            </w:r>
            <w:r>
              <w:rPr>
                <w:rFonts w:hint="eastAsia" w:ascii="Times New Roman" w:hAnsi="Times New Roman"/>
                <w:kern w:val="0"/>
                <w:sz w:val="20"/>
                <w:szCs w:val="20"/>
              </w:rPr>
              <w:t>不大于</w:t>
            </w:r>
            <w:r>
              <w:rPr>
                <w:rFonts w:ascii="Times New Roman" w:hAnsi="Times New Roman"/>
                <w:kern w:val="0"/>
                <w:sz w:val="20"/>
                <w:szCs w:val="20"/>
              </w:rPr>
              <w:t>：长 1228 毫米，宽 583 毫米，高 412 毫米</w:t>
            </w:r>
          </w:p>
          <w:p>
            <w:pPr>
              <w:widowControl/>
              <w:rPr>
                <w:rFonts w:ascii="Times New Roman" w:hAnsi="Times New Roman"/>
                <w:kern w:val="0"/>
                <w:sz w:val="20"/>
                <w:szCs w:val="20"/>
              </w:rPr>
            </w:pPr>
            <w:r>
              <w:rPr>
                <w:rFonts w:ascii="Times New Roman" w:hAnsi="Times New Roman"/>
                <w:kern w:val="0"/>
                <w:sz w:val="20"/>
                <w:szCs w:val="20"/>
              </w:rPr>
              <w:t>舱盖闭合</w:t>
            </w:r>
            <w:r>
              <w:rPr>
                <w:rFonts w:hint="eastAsia" w:ascii="Times New Roman" w:hAnsi="Times New Roman"/>
                <w:kern w:val="0"/>
                <w:sz w:val="20"/>
                <w:szCs w:val="20"/>
              </w:rPr>
              <w:t>不大于</w:t>
            </w:r>
            <w:r>
              <w:rPr>
                <w:rFonts w:ascii="Times New Roman" w:hAnsi="Times New Roman"/>
                <w:kern w:val="0"/>
                <w:sz w:val="20"/>
                <w:szCs w:val="20"/>
              </w:rPr>
              <w:t>：长 570 毫米，宽 583 毫米，高 465 毫米</w:t>
            </w:r>
          </w:p>
          <w:p>
            <w:pPr>
              <w:widowControl/>
              <w:rPr>
                <w:rFonts w:ascii="Times New Roman" w:hAnsi="Times New Roman"/>
                <w:kern w:val="0"/>
                <w:sz w:val="20"/>
                <w:szCs w:val="20"/>
              </w:rPr>
            </w:pPr>
            <w:r>
              <w:rPr>
                <w:rFonts w:ascii="Times New Roman" w:hAnsi="Times New Roman"/>
                <w:kern w:val="0"/>
                <w:sz w:val="20"/>
                <w:szCs w:val="20"/>
              </w:rPr>
              <w:t>以上数据均不含风速计高度，均包含脚架高度。</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工作环境温度</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-25°C 至 45°C（环境温度低于 -20℃ 时，机场处于待机状态，飞行器无法执行飞行任务）</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防护等级</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IP55</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可收纳无人机数量</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1台</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最大允许降落风速</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8米/秒</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最大运行海拔高度</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2500米</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RTK基站定位精准度</w:t>
            </w:r>
          </w:p>
        </w:tc>
        <w:tc>
          <w:tcPr>
            <w:tcW w:w="6778" w:type="dxa"/>
            <w:tcBorders>
              <w:top w:val="nil"/>
              <w:left w:val="nil"/>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水平：1 厘米 + 1 ppm（RMS）</w:t>
            </w:r>
          </w:p>
          <w:p>
            <w:pPr>
              <w:widowControl/>
              <w:rPr>
                <w:rFonts w:ascii="Times New Roman" w:hAnsi="Times New Roman"/>
                <w:kern w:val="0"/>
                <w:sz w:val="20"/>
                <w:szCs w:val="20"/>
              </w:rPr>
            </w:pPr>
            <w:r>
              <w:rPr>
                <w:rFonts w:ascii="Times New Roman" w:hAnsi="Times New Roman"/>
                <w:kern w:val="0"/>
                <w:sz w:val="20"/>
                <w:szCs w:val="20"/>
              </w:rPr>
              <w:t>垂直：2 厘米 + 1 ppm（RMS）</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ascii="Times New Roman" w:hAnsi="Times New Roman"/>
                <w:b/>
                <w:bCs/>
                <w:kern w:val="0"/>
                <w:sz w:val="20"/>
                <w:szCs w:val="20"/>
              </w:rPr>
              <w:t>机场-备用电池</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电池</w:t>
            </w:r>
            <w:r>
              <w:rPr>
                <w:rFonts w:hint="eastAsia" w:ascii="Times New Roman" w:hAnsi="Times New Roman"/>
                <w:kern w:val="0"/>
                <w:sz w:val="20"/>
                <w:szCs w:val="20"/>
              </w:rPr>
              <w:t>参数</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12</w:t>
            </w:r>
            <w:r>
              <w:rPr>
                <w:rFonts w:hint="eastAsia" w:ascii="Times New Roman" w:hAnsi="Times New Roman"/>
                <w:kern w:val="0"/>
                <w:sz w:val="20"/>
                <w:szCs w:val="20"/>
              </w:rPr>
              <w:t>伏</w:t>
            </w:r>
            <w:r>
              <w:rPr>
                <w:rFonts w:ascii="Times New Roman" w:hAnsi="Times New Roman"/>
                <w:kern w:val="0"/>
                <w:sz w:val="20"/>
                <w:szCs w:val="20"/>
              </w:rPr>
              <w:t>12安时</w:t>
            </w:r>
            <w:r>
              <w:rPr>
                <w:rFonts w:hint="eastAsia" w:ascii="Times New Roman" w:hAnsi="Times New Roman"/>
                <w:kern w:val="0"/>
                <w:sz w:val="20"/>
                <w:szCs w:val="20"/>
              </w:rPr>
              <w:t>，铅酸蓄电池，续航大于5小时（</w:t>
            </w:r>
            <w:r>
              <w:rPr>
                <w:rFonts w:ascii="Times New Roman" w:hAnsi="Times New Roman"/>
                <w:kern w:val="0"/>
                <w:sz w:val="20"/>
                <w:szCs w:val="20"/>
              </w:rPr>
              <w:t>在 25℃ 环境中</w:t>
            </w:r>
            <w:r>
              <w:rPr>
                <w:rFonts w:hint="eastAsia" w:ascii="Times New Roman" w:hAnsi="Times New Roman"/>
                <w:kern w:val="0"/>
                <w:sz w:val="20"/>
                <w:szCs w:val="20"/>
              </w:rPr>
              <w:t>）</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hint="eastAsia" w:ascii="Times New Roman" w:hAnsi="Times New Roman"/>
                <w:kern w:val="0"/>
                <w:sz w:val="20"/>
                <w:szCs w:val="20"/>
              </w:rPr>
              <w:t>★</w:t>
            </w:r>
            <w:r>
              <w:rPr>
                <w:rFonts w:ascii="Times New Roman" w:hAnsi="Times New Roman"/>
                <w:b/>
                <w:bCs/>
                <w:kern w:val="0"/>
                <w:sz w:val="20"/>
                <w:szCs w:val="20"/>
              </w:rPr>
              <w:t>机场-传感器</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传感器</w:t>
            </w:r>
            <w:r>
              <w:rPr>
                <w:rFonts w:hint="eastAsia" w:ascii="Times New Roman" w:hAnsi="Times New Roman"/>
                <w:kern w:val="0"/>
                <w:sz w:val="20"/>
                <w:szCs w:val="20"/>
              </w:rPr>
              <w:t>支持</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支持</w:t>
            </w:r>
            <w:r>
              <w:rPr>
                <w:rFonts w:ascii="Times New Roman" w:hAnsi="Times New Roman"/>
                <w:kern w:val="0"/>
                <w:sz w:val="20"/>
                <w:szCs w:val="20"/>
              </w:rPr>
              <w:t>风速传感器</w:t>
            </w:r>
            <w:r>
              <w:rPr>
                <w:rFonts w:hint="eastAsia" w:ascii="Times New Roman" w:hAnsi="Times New Roman"/>
                <w:kern w:val="0"/>
                <w:sz w:val="20"/>
                <w:szCs w:val="20"/>
              </w:rPr>
              <w:t>、</w:t>
            </w:r>
            <w:r>
              <w:rPr>
                <w:rFonts w:ascii="Times New Roman" w:hAnsi="Times New Roman"/>
                <w:kern w:val="0"/>
                <w:sz w:val="20"/>
                <w:szCs w:val="20"/>
              </w:rPr>
              <w:t>雨量传感器</w:t>
            </w:r>
            <w:r>
              <w:rPr>
                <w:rFonts w:hint="eastAsia" w:ascii="Times New Roman" w:hAnsi="Times New Roman"/>
                <w:kern w:val="0"/>
                <w:sz w:val="20"/>
                <w:szCs w:val="20"/>
              </w:rPr>
              <w:t>、</w:t>
            </w:r>
            <w:r>
              <w:rPr>
                <w:rFonts w:ascii="Times New Roman" w:hAnsi="Times New Roman"/>
                <w:kern w:val="0"/>
                <w:sz w:val="20"/>
                <w:szCs w:val="20"/>
              </w:rPr>
              <w:t>环境温度传感器</w:t>
            </w:r>
            <w:r>
              <w:rPr>
                <w:rFonts w:hint="eastAsia" w:ascii="Times New Roman" w:hAnsi="Times New Roman"/>
                <w:kern w:val="0"/>
                <w:sz w:val="20"/>
                <w:szCs w:val="20"/>
              </w:rPr>
              <w:t>、</w:t>
            </w:r>
            <w:r>
              <w:rPr>
                <w:rFonts w:ascii="Times New Roman" w:hAnsi="Times New Roman"/>
                <w:kern w:val="0"/>
                <w:sz w:val="20"/>
                <w:szCs w:val="20"/>
              </w:rPr>
              <w:t>水浸传感器</w:t>
            </w:r>
            <w:r>
              <w:rPr>
                <w:rFonts w:hint="eastAsia" w:ascii="Times New Roman" w:hAnsi="Times New Roman"/>
                <w:kern w:val="0"/>
                <w:sz w:val="20"/>
                <w:szCs w:val="20"/>
              </w:rPr>
              <w:t>、舱内温度传感器、</w:t>
            </w:r>
            <w:r>
              <w:rPr>
                <w:rFonts w:ascii="Times New Roman" w:hAnsi="Times New Roman"/>
                <w:kern w:val="0"/>
                <w:sz w:val="20"/>
                <w:szCs w:val="20"/>
              </w:rPr>
              <w:t>舱内湿度传感器</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hint="eastAsia" w:ascii="Times New Roman" w:hAnsi="Times New Roman"/>
                <w:kern w:val="0"/>
                <w:sz w:val="20"/>
                <w:szCs w:val="20"/>
              </w:rPr>
              <w:t>★</w:t>
            </w:r>
            <w:r>
              <w:rPr>
                <w:rFonts w:ascii="Times New Roman" w:hAnsi="Times New Roman"/>
                <w:b/>
                <w:bCs/>
                <w:kern w:val="0"/>
                <w:sz w:val="20"/>
                <w:szCs w:val="20"/>
              </w:rPr>
              <w:t>机场 - 舱盖</w:t>
            </w:r>
            <w:r>
              <w:rPr>
                <w:rFonts w:hint="eastAsia" w:ascii="Times New Roman" w:hAnsi="Times New Roman"/>
                <w:b/>
                <w:bCs/>
                <w:kern w:val="0"/>
                <w:sz w:val="20"/>
                <w:szCs w:val="20"/>
              </w:rPr>
              <w:t>及舱内</w:t>
            </w:r>
            <w:r>
              <w:rPr>
                <w:rFonts w:ascii="Times New Roman" w:hAnsi="Times New Roman"/>
                <w:b/>
                <w:bCs/>
                <w:kern w:val="0"/>
                <w:sz w:val="20"/>
                <w:szCs w:val="20"/>
              </w:rPr>
              <w:t>监控相机</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分辨率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1920 × 1080</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视角范围（FOV）</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151°</w:t>
            </w:r>
          </w:p>
        </w:tc>
      </w:tr>
      <w:tr>
        <w:tblPrEx>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ascii="Times New Roman" w:hAnsi="Times New Roman"/>
                <w:b/>
                <w:bCs/>
                <w:kern w:val="0"/>
                <w:sz w:val="20"/>
                <w:szCs w:val="20"/>
              </w:rPr>
              <w:t>机场-防雷</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交流电接口</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20 千安防护（额定值），满足 EN 61643-11 的 Type 2 和 IEC 61643-1 的 Class Ⅱ 保护等级</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以太网接口</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10 千安防护（总通流值），满足 EN/IEC 61643-21 的 Category C 保护等级</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ascii="Times New Roman" w:hAnsi="Times New Roman"/>
                <w:b/>
                <w:bCs/>
                <w:kern w:val="0"/>
                <w:sz w:val="20"/>
                <w:szCs w:val="20"/>
              </w:rPr>
              <w:t>机场-扩展能力</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边缘计算</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支持外接交换机进行数据通信</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ascii="Times New Roman" w:hAnsi="Times New Roman"/>
                <w:b/>
                <w:bCs/>
                <w:kern w:val="0"/>
                <w:sz w:val="20"/>
                <w:szCs w:val="20"/>
              </w:rPr>
              <w:t>飞行器 - 通用参数</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最大起飞重量</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1610 克</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尺寸</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长 335 毫米，宽 398 毫米，高 153 毫米（不含桨叶）</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轴距</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对角线：463.2 毫米</w:t>
            </w:r>
            <w:r>
              <w:rPr>
                <w:rFonts w:hint="eastAsia" w:ascii="Times New Roman" w:hAnsi="Times New Roman"/>
                <w:kern w:val="0"/>
                <w:sz w:val="20"/>
                <w:szCs w:val="20"/>
              </w:rPr>
              <w:t>，</w:t>
            </w:r>
            <w:r>
              <w:rPr>
                <w:rFonts w:ascii="Times New Roman" w:hAnsi="Times New Roman"/>
                <w:kern w:val="0"/>
                <w:sz w:val="20"/>
                <w:szCs w:val="20"/>
              </w:rPr>
              <w:t>左右：359.9 毫米</w:t>
            </w:r>
            <w:r>
              <w:rPr>
                <w:rFonts w:hint="eastAsia" w:ascii="Times New Roman" w:hAnsi="Times New Roman"/>
                <w:kern w:val="0"/>
                <w:sz w:val="20"/>
                <w:szCs w:val="20"/>
              </w:rPr>
              <w:t>，</w:t>
            </w:r>
            <w:r>
              <w:rPr>
                <w:rFonts w:ascii="Times New Roman" w:hAnsi="Times New Roman"/>
                <w:kern w:val="0"/>
                <w:sz w:val="20"/>
                <w:szCs w:val="20"/>
              </w:rPr>
              <w:t>前后：291.4 毫米</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最大上升速度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6 米/秒（普通挡），8 米/秒（运动挡）</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最大下降速度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6 米/秒（普通挡），6 米/秒（运动挡）</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最大水平飞行速度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海平面附近无风状态下</w:t>
            </w:r>
          </w:p>
          <w:p>
            <w:pPr>
              <w:widowControl/>
              <w:rPr>
                <w:rFonts w:ascii="Times New Roman" w:hAnsi="Times New Roman"/>
                <w:kern w:val="0"/>
                <w:sz w:val="20"/>
                <w:szCs w:val="20"/>
              </w:rPr>
            </w:pPr>
            <w:r>
              <w:rPr>
                <w:rFonts w:ascii="Times New Roman" w:hAnsi="Times New Roman"/>
                <w:kern w:val="0"/>
                <w:sz w:val="20"/>
                <w:szCs w:val="20"/>
              </w:rPr>
              <w:t>普通挡开避障：前飞 15 米/秒，后飞 12 米/秒，侧飞 10 米/秒</w:t>
            </w:r>
          </w:p>
          <w:p>
            <w:pPr>
              <w:widowControl/>
              <w:rPr>
                <w:rFonts w:ascii="Times New Roman" w:hAnsi="Times New Roman"/>
                <w:kern w:val="0"/>
                <w:sz w:val="20"/>
                <w:szCs w:val="20"/>
              </w:rPr>
            </w:pPr>
            <w:r>
              <w:rPr>
                <w:rFonts w:ascii="Times New Roman" w:hAnsi="Times New Roman"/>
                <w:kern w:val="0"/>
                <w:sz w:val="20"/>
                <w:szCs w:val="20"/>
              </w:rPr>
              <w:t>运动挡：前飞 21 米/秒，后飞 18 米/秒，侧飞 16 米/秒</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最大抗风速度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作业阶段抗风能力：12 米/秒</w:t>
            </w:r>
            <w:r>
              <w:rPr>
                <w:rFonts w:hint="eastAsia" w:ascii="Times New Roman" w:hAnsi="Times New Roman"/>
                <w:kern w:val="0"/>
                <w:sz w:val="20"/>
                <w:szCs w:val="20"/>
              </w:rPr>
              <w:t>，</w:t>
            </w:r>
            <w:r>
              <w:rPr>
                <w:rFonts w:ascii="Times New Roman" w:hAnsi="Times New Roman"/>
                <w:kern w:val="0"/>
                <w:sz w:val="20"/>
                <w:szCs w:val="20"/>
              </w:rPr>
              <w:t>起降阶段抗风能力：8 米/秒</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最大起飞海拔高度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2500 米</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最长飞行时间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50 分钟（该续航时间在测试条件为：海拔高度 20 米、实验室无风环境、以 46.8 公里/小时匀速向前飞行、切换至拍照模式（过程中无拍照操作）、避障行为设置为关闭、飞行至剩余 0% 电量测得）</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最长悬停时间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40 分钟（在无风环境下，以 54 公里/小时的速度匀速飞行于 20 米海拔高度至剩余 0% 电量时测得）</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最大续航里程</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43 公里（在无风环境下，以 54 公里/小时的速度匀速飞行于 20 米海拔高度至剩余 0% 电量时测得）</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最大可倾斜角度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25°（普通挡）</w:t>
            </w:r>
          </w:p>
          <w:p>
            <w:pPr>
              <w:widowControl/>
              <w:rPr>
                <w:rFonts w:ascii="Times New Roman" w:hAnsi="Times New Roman"/>
                <w:kern w:val="0"/>
                <w:sz w:val="20"/>
                <w:szCs w:val="20"/>
              </w:rPr>
            </w:pPr>
            <w:r>
              <w:rPr>
                <w:rFonts w:ascii="Times New Roman" w:hAnsi="Times New Roman"/>
                <w:kern w:val="0"/>
                <w:sz w:val="20"/>
                <w:szCs w:val="20"/>
              </w:rPr>
              <w:t>25°（运动挡）</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最大旋转角速度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250°/秒</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GNSS</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GPS + Galileo + BeiDou + GLONASS（仅在 RTK 模块开启时支持 GLONASS）</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悬停精度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无风或微风环境下</w:t>
            </w:r>
          </w:p>
          <w:p>
            <w:pPr>
              <w:widowControl/>
              <w:rPr>
                <w:rFonts w:ascii="Times New Roman" w:hAnsi="Times New Roman"/>
                <w:kern w:val="0"/>
                <w:sz w:val="20"/>
                <w:szCs w:val="20"/>
              </w:rPr>
            </w:pPr>
            <w:r>
              <w:rPr>
                <w:rFonts w:ascii="Times New Roman" w:hAnsi="Times New Roman"/>
                <w:kern w:val="0"/>
                <w:sz w:val="20"/>
                <w:szCs w:val="20"/>
              </w:rPr>
              <w:t>垂直：</w:t>
            </w:r>
          </w:p>
          <w:p>
            <w:pPr>
              <w:widowControl/>
              <w:rPr>
                <w:rFonts w:ascii="Times New Roman" w:hAnsi="Times New Roman"/>
                <w:kern w:val="0"/>
                <w:sz w:val="20"/>
                <w:szCs w:val="20"/>
              </w:rPr>
            </w:pPr>
            <w:r>
              <w:rPr>
                <w:rFonts w:ascii="Times New Roman" w:hAnsi="Times New Roman"/>
                <w:kern w:val="0"/>
                <w:sz w:val="20"/>
                <w:szCs w:val="20"/>
              </w:rPr>
              <w:t>±0.1 米（视觉定位正常工作时）</w:t>
            </w:r>
          </w:p>
          <w:p>
            <w:pPr>
              <w:widowControl/>
              <w:rPr>
                <w:rFonts w:ascii="Times New Roman" w:hAnsi="Times New Roman"/>
                <w:kern w:val="0"/>
                <w:sz w:val="20"/>
                <w:szCs w:val="20"/>
              </w:rPr>
            </w:pPr>
            <w:r>
              <w:rPr>
                <w:rFonts w:ascii="Times New Roman" w:hAnsi="Times New Roman"/>
                <w:kern w:val="0"/>
                <w:sz w:val="20"/>
                <w:szCs w:val="20"/>
              </w:rPr>
              <w:t>±0.5 米（GNSS 正常工作时）</w:t>
            </w:r>
          </w:p>
          <w:p>
            <w:pPr>
              <w:widowControl/>
              <w:rPr>
                <w:rFonts w:ascii="Times New Roman" w:hAnsi="Times New Roman"/>
                <w:kern w:val="0"/>
                <w:sz w:val="20"/>
                <w:szCs w:val="20"/>
              </w:rPr>
            </w:pPr>
            <w:r>
              <w:rPr>
                <w:rFonts w:ascii="Times New Roman" w:hAnsi="Times New Roman"/>
                <w:kern w:val="0"/>
                <w:sz w:val="20"/>
                <w:szCs w:val="20"/>
              </w:rPr>
              <w:t>±0.1 米（RTK 正常工作时）</w:t>
            </w:r>
          </w:p>
          <w:p>
            <w:pPr>
              <w:widowControl/>
              <w:rPr>
                <w:rFonts w:ascii="Times New Roman" w:hAnsi="Times New Roman"/>
                <w:kern w:val="0"/>
                <w:sz w:val="20"/>
                <w:szCs w:val="20"/>
              </w:rPr>
            </w:pPr>
            <w:r>
              <w:rPr>
                <w:rFonts w:ascii="Times New Roman" w:hAnsi="Times New Roman"/>
                <w:kern w:val="0"/>
                <w:sz w:val="20"/>
                <w:szCs w:val="20"/>
              </w:rPr>
              <w:t>水平：</w:t>
            </w:r>
          </w:p>
          <w:p>
            <w:pPr>
              <w:widowControl/>
              <w:rPr>
                <w:rFonts w:ascii="Times New Roman" w:hAnsi="Times New Roman"/>
                <w:kern w:val="0"/>
                <w:sz w:val="20"/>
                <w:szCs w:val="20"/>
              </w:rPr>
            </w:pPr>
            <w:r>
              <w:rPr>
                <w:rFonts w:ascii="Times New Roman" w:hAnsi="Times New Roman"/>
                <w:kern w:val="0"/>
                <w:sz w:val="20"/>
                <w:szCs w:val="20"/>
              </w:rPr>
              <w:t>±0.3 米（视觉定位正常工作时）</w:t>
            </w:r>
          </w:p>
          <w:p>
            <w:pPr>
              <w:widowControl/>
              <w:rPr>
                <w:rFonts w:ascii="Times New Roman" w:hAnsi="Times New Roman"/>
                <w:kern w:val="0"/>
                <w:sz w:val="20"/>
                <w:szCs w:val="20"/>
              </w:rPr>
            </w:pPr>
            <w:r>
              <w:rPr>
                <w:rFonts w:ascii="Times New Roman" w:hAnsi="Times New Roman"/>
                <w:kern w:val="0"/>
                <w:sz w:val="20"/>
                <w:szCs w:val="20"/>
              </w:rPr>
              <w:t>±0.5 米（GNSS 正常工作时）</w:t>
            </w:r>
          </w:p>
          <w:p>
            <w:pPr>
              <w:widowControl/>
              <w:rPr>
                <w:rFonts w:ascii="Times New Roman" w:hAnsi="Times New Roman"/>
                <w:kern w:val="0"/>
                <w:sz w:val="20"/>
                <w:szCs w:val="20"/>
              </w:rPr>
            </w:pPr>
            <w:r>
              <w:rPr>
                <w:rFonts w:ascii="Times New Roman" w:hAnsi="Times New Roman"/>
                <w:kern w:val="0"/>
                <w:sz w:val="20"/>
                <w:szCs w:val="20"/>
              </w:rPr>
              <w:t>±0.1 米（RTK 正常工作时）</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工作环境温度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-20℃ 至 45℃</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防护等级</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IP54</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电机型号</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2607</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螺旋桨型号</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1149 折叠非快拆桨叶</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最大作业半径</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10 公里（在环境温度约 25℃、安全电量为 25%、环境风速约 4 米/秒、往返速度约 15 米/秒、悬停作业 10 分钟等条件下测得此数据）</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ascii="Times New Roman" w:hAnsi="Times New Roman"/>
                <w:b/>
                <w:bCs/>
                <w:kern w:val="0"/>
                <w:sz w:val="20"/>
                <w:szCs w:val="20"/>
              </w:rPr>
              <w:t>飞行器-广角相机</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影像传感器</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1/1.32 英寸 CMOS，有效像素 4800 万</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镜头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视角：82°</w:t>
            </w:r>
            <w:r>
              <w:rPr>
                <w:rFonts w:hint="eastAsia" w:ascii="Times New Roman" w:hAnsi="Times New Roman"/>
                <w:kern w:val="0"/>
                <w:sz w:val="20"/>
                <w:szCs w:val="20"/>
              </w:rPr>
              <w:t>，</w:t>
            </w:r>
            <w:r>
              <w:rPr>
                <w:rFonts w:ascii="Times New Roman" w:hAnsi="Times New Roman"/>
                <w:kern w:val="0"/>
                <w:sz w:val="20"/>
                <w:szCs w:val="20"/>
              </w:rPr>
              <w:t>等效焦距：24 mm</w:t>
            </w:r>
            <w:r>
              <w:rPr>
                <w:rFonts w:hint="eastAsia" w:ascii="Times New Roman" w:hAnsi="Times New Roman"/>
                <w:kern w:val="0"/>
                <w:sz w:val="20"/>
                <w:szCs w:val="20"/>
              </w:rPr>
              <w:t>，</w:t>
            </w:r>
            <w:r>
              <w:rPr>
                <w:rFonts w:ascii="Times New Roman" w:hAnsi="Times New Roman"/>
                <w:kern w:val="0"/>
                <w:sz w:val="20"/>
                <w:szCs w:val="20"/>
              </w:rPr>
              <w:t>光圈：f/1.7</w:t>
            </w:r>
            <w:r>
              <w:rPr>
                <w:rFonts w:hint="eastAsia" w:ascii="Times New Roman" w:hAnsi="Times New Roman"/>
                <w:kern w:val="0"/>
                <w:sz w:val="20"/>
                <w:szCs w:val="20"/>
              </w:rPr>
              <w:t>，</w:t>
            </w:r>
            <w:r>
              <w:rPr>
                <w:rFonts w:ascii="Times New Roman" w:hAnsi="Times New Roman"/>
                <w:kern w:val="0"/>
                <w:sz w:val="20"/>
                <w:szCs w:val="20"/>
              </w:rPr>
              <w:t>对焦点：1 米至无穷远</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镜头除雾</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广角镜头支持除雾</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ISO范围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100 至 25600</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快门速度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电子快门：8 秒至 1/8000 秒</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最大照片尺寸</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8064 × 6048</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照片拍摄模式及参数</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单张拍摄：1200 万像素，4800 万像素</w:t>
            </w:r>
          </w:p>
          <w:p>
            <w:pPr>
              <w:widowControl/>
              <w:rPr>
                <w:rFonts w:ascii="Times New Roman" w:hAnsi="Times New Roman"/>
                <w:kern w:val="0"/>
                <w:sz w:val="20"/>
                <w:szCs w:val="20"/>
              </w:rPr>
            </w:pPr>
            <w:r>
              <w:rPr>
                <w:rFonts w:ascii="Times New Roman" w:hAnsi="Times New Roman"/>
                <w:kern w:val="0"/>
                <w:sz w:val="20"/>
                <w:szCs w:val="20"/>
              </w:rPr>
              <w:t>定时拍摄：1200 万像素，4800 万像素，0.7/1/2/3/5/7/10/15/20/30/60 秒*</w:t>
            </w:r>
          </w:p>
          <w:p>
            <w:pPr>
              <w:widowControl/>
              <w:rPr>
                <w:rFonts w:ascii="Times New Roman" w:hAnsi="Times New Roman"/>
                <w:kern w:val="0"/>
                <w:sz w:val="20"/>
                <w:szCs w:val="20"/>
              </w:rPr>
            </w:pPr>
            <w:r>
              <w:rPr>
                <w:rFonts w:ascii="Times New Roman" w:hAnsi="Times New Roman"/>
                <w:kern w:val="0"/>
                <w:sz w:val="20"/>
                <w:szCs w:val="20"/>
              </w:rPr>
              <w:t>低光智能拍照：1200 万像素</w:t>
            </w:r>
          </w:p>
          <w:p>
            <w:pPr>
              <w:widowControl/>
              <w:rPr>
                <w:rFonts w:ascii="Times New Roman" w:hAnsi="Times New Roman"/>
                <w:kern w:val="0"/>
                <w:sz w:val="20"/>
                <w:szCs w:val="20"/>
              </w:rPr>
            </w:pPr>
            <w:r>
              <w:rPr>
                <w:rFonts w:ascii="Times New Roman" w:hAnsi="Times New Roman"/>
                <w:kern w:val="0"/>
                <w:sz w:val="20"/>
                <w:szCs w:val="20"/>
              </w:rPr>
              <w:t>全景拍照：1200 万像素（原始素材），1 亿像素（合成素材</w:t>
            </w:r>
            <w:r>
              <w:rPr>
                <w:rFonts w:hint="eastAsia" w:ascii="Times New Roman" w:hAnsi="Times New Roman"/>
                <w:kern w:val="0"/>
                <w:sz w:val="20"/>
                <w:szCs w:val="20"/>
              </w:rPr>
              <w:t>）</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录像编码及分辨率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H.264</w:t>
            </w:r>
            <w:r>
              <w:rPr>
                <w:rFonts w:hint="eastAsia" w:ascii="Times New Roman" w:hAnsi="Times New Roman"/>
                <w:kern w:val="0"/>
                <w:sz w:val="20"/>
                <w:szCs w:val="20"/>
              </w:rPr>
              <w:t>，</w:t>
            </w:r>
            <w:r>
              <w:rPr>
                <w:rFonts w:ascii="Times New Roman" w:hAnsi="Times New Roman"/>
                <w:kern w:val="0"/>
                <w:sz w:val="20"/>
                <w:szCs w:val="20"/>
              </w:rPr>
              <w:t>4K：3840 × 2160@30fps</w:t>
            </w:r>
            <w:r>
              <w:rPr>
                <w:rFonts w:hint="eastAsia" w:ascii="Times New Roman" w:hAnsi="Times New Roman"/>
                <w:kern w:val="0"/>
                <w:sz w:val="20"/>
                <w:szCs w:val="20"/>
              </w:rPr>
              <w:t>，</w:t>
            </w:r>
            <w:r>
              <w:rPr>
                <w:rFonts w:ascii="Times New Roman" w:hAnsi="Times New Roman"/>
                <w:kern w:val="0"/>
                <w:sz w:val="20"/>
                <w:szCs w:val="20"/>
              </w:rPr>
              <w:t>FHD：1920 × 1080@30fps</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视频码率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4K：85Mbps</w:t>
            </w:r>
            <w:r>
              <w:rPr>
                <w:rFonts w:hint="eastAsia" w:ascii="Times New Roman" w:hAnsi="Times New Roman"/>
                <w:kern w:val="0"/>
                <w:sz w:val="20"/>
                <w:szCs w:val="20"/>
              </w:rPr>
              <w:t>，</w:t>
            </w:r>
            <w:r>
              <w:rPr>
                <w:rFonts w:ascii="Times New Roman" w:hAnsi="Times New Roman"/>
                <w:kern w:val="0"/>
                <w:sz w:val="20"/>
                <w:szCs w:val="20"/>
              </w:rPr>
              <w:t>FHD：30Mbps</w:t>
            </w:r>
          </w:p>
        </w:tc>
      </w:tr>
      <w:tr>
        <w:tblPrEx>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ascii="Times New Roman" w:hAnsi="Times New Roman"/>
                <w:b/>
                <w:bCs/>
                <w:kern w:val="0"/>
                <w:sz w:val="20"/>
                <w:szCs w:val="20"/>
              </w:rPr>
              <w:t>飞行器-长焦相机</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影像传感器</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1/2 英寸 CMOS，有效像素 1200 万</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镜头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视角：15°</w:t>
            </w:r>
            <w:r>
              <w:rPr>
                <w:rFonts w:hint="eastAsia" w:ascii="Times New Roman" w:hAnsi="Times New Roman"/>
                <w:kern w:val="0"/>
                <w:sz w:val="20"/>
                <w:szCs w:val="20"/>
              </w:rPr>
              <w:t>，</w:t>
            </w:r>
            <w:r>
              <w:rPr>
                <w:rFonts w:ascii="Times New Roman" w:hAnsi="Times New Roman"/>
                <w:kern w:val="0"/>
                <w:sz w:val="20"/>
                <w:szCs w:val="20"/>
              </w:rPr>
              <w:t>等效焦距：162 mm</w:t>
            </w:r>
            <w:r>
              <w:rPr>
                <w:rFonts w:hint="eastAsia" w:ascii="Times New Roman" w:hAnsi="Times New Roman"/>
                <w:kern w:val="0"/>
                <w:sz w:val="20"/>
                <w:szCs w:val="20"/>
              </w:rPr>
              <w:t>，</w:t>
            </w:r>
            <w:r>
              <w:rPr>
                <w:rFonts w:ascii="Times New Roman" w:hAnsi="Times New Roman"/>
                <w:kern w:val="0"/>
                <w:sz w:val="20"/>
                <w:szCs w:val="20"/>
              </w:rPr>
              <w:t>光圈：f/4.4</w:t>
            </w:r>
            <w:r>
              <w:rPr>
                <w:rFonts w:hint="eastAsia" w:ascii="Times New Roman" w:hAnsi="Times New Roman"/>
                <w:kern w:val="0"/>
                <w:sz w:val="20"/>
                <w:szCs w:val="20"/>
              </w:rPr>
              <w:t>，</w:t>
            </w:r>
            <w:r>
              <w:rPr>
                <w:rFonts w:ascii="Times New Roman" w:hAnsi="Times New Roman"/>
                <w:kern w:val="0"/>
                <w:sz w:val="20"/>
                <w:szCs w:val="20"/>
              </w:rPr>
              <w:t>对焦点：3 米至无穷远</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镜头除雾</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长焦镜头支持除雾</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ISO范围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100 至 25600</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快门速度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电子快门：8 秒至 1/8000 秒</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最大照片尺寸</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4000 × 3000</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照片拍摄模式及参数</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单张拍摄：1200 万像素</w:t>
            </w:r>
          </w:p>
          <w:p>
            <w:pPr>
              <w:widowControl/>
              <w:rPr>
                <w:rFonts w:ascii="Times New Roman" w:hAnsi="Times New Roman"/>
                <w:kern w:val="0"/>
                <w:sz w:val="20"/>
                <w:szCs w:val="20"/>
              </w:rPr>
            </w:pPr>
            <w:r>
              <w:rPr>
                <w:rFonts w:ascii="Times New Roman" w:hAnsi="Times New Roman"/>
                <w:kern w:val="0"/>
                <w:sz w:val="20"/>
                <w:szCs w:val="20"/>
              </w:rPr>
              <w:t>定时拍摄：1200 万像素，0.7/1/2/3/5/7/10/15/20/30/60 秒</w:t>
            </w:r>
          </w:p>
          <w:p>
            <w:pPr>
              <w:widowControl/>
              <w:rPr>
                <w:rFonts w:ascii="Times New Roman" w:hAnsi="Times New Roman"/>
                <w:kern w:val="0"/>
                <w:sz w:val="20"/>
                <w:szCs w:val="20"/>
              </w:rPr>
            </w:pPr>
            <w:r>
              <w:rPr>
                <w:rFonts w:ascii="Times New Roman" w:hAnsi="Times New Roman"/>
                <w:kern w:val="0"/>
                <w:sz w:val="20"/>
                <w:szCs w:val="20"/>
              </w:rPr>
              <w:t>低光智能拍照：1200 万像素</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录像编码及分辨率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H.264</w:t>
            </w:r>
            <w:r>
              <w:rPr>
                <w:rFonts w:hint="eastAsia" w:ascii="Times New Roman" w:hAnsi="Times New Roman"/>
                <w:kern w:val="0"/>
                <w:sz w:val="20"/>
                <w:szCs w:val="20"/>
              </w:rPr>
              <w:t>，</w:t>
            </w:r>
            <w:r>
              <w:rPr>
                <w:rFonts w:ascii="Times New Roman" w:hAnsi="Times New Roman"/>
                <w:kern w:val="0"/>
                <w:sz w:val="20"/>
                <w:szCs w:val="20"/>
              </w:rPr>
              <w:t>4K：3840 × 2160@30fps</w:t>
            </w:r>
            <w:r>
              <w:rPr>
                <w:rFonts w:hint="eastAsia" w:ascii="Times New Roman" w:hAnsi="Times New Roman"/>
                <w:kern w:val="0"/>
                <w:sz w:val="20"/>
                <w:szCs w:val="20"/>
              </w:rPr>
              <w:t>，</w:t>
            </w:r>
            <w:r>
              <w:rPr>
                <w:rFonts w:ascii="Times New Roman" w:hAnsi="Times New Roman"/>
                <w:kern w:val="0"/>
                <w:sz w:val="20"/>
                <w:szCs w:val="20"/>
              </w:rPr>
              <w:t>FHD：1920 × 1080@30fps</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视频码率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4K：85Mbps</w:t>
            </w:r>
            <w:r>
              <w:rPr>
                <w:rFonts w:hint="eastAsia" w:ascii="Times New Roman" w:hAnsi="Times New Roman"/>
                <w:kern w:val="0"/>
                <w:sz w:val="20"/>
                <w:szCs w:val="20"/>
              </w:rPr>
              <w:t>，</w:t>
            </w:r>
            <w:r>
              <w:rPr>
                <w:rFonts w:ascii="Times New Roman" w:hAnsi="Times New Roman"/>
                <w:kern w:val="0"/>
                <w:sz w:val="20"/>
                <w:szCs w:val="20"/>
              </w:rPr>
              <w:t>FHD：30Mbps</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数字变焦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8 倍（混合变焦 56 倍）</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hint="eastAsia" w:ascii="Times New Roman" w:hAnsi="Times New Roman"/>
                <w:kern w:val="0"/>
                <w:sz w:val="20"/>
                <w:szCs w:val="20"/>
              </w:rPr>
              <w:t>★</w:t>
            </w:r>
            <w:r>
              <w:rPr>
                <w:rFonts w:ascii="Times New Roman" w:hAnsi="Times New Roman"/>
                <w:b/>
                <w:bCs/>
                <w:kern w:val="0"/>
                <w:sz w:val="20"/>
                <w:szCs w:val="20"/>
              </w:rPr>
              <w:t>飞行器-红外相机</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热成像传感器类型</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非制冷氧化钒（VOx）</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像元间距</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12 μm</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帧率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30 Hz</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镜头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视角：61°</w:t>
            </w:r>
            <w:r>
              <w:rPr>
                <w:rFonts w:hint="eastAsia" w:ascii="Times New Roman" w:hAnsi="Times New Roman"/>
                <w:kern w:val="0"/>
                <w:sz w:val="20"/>
                <w:szCs w:val="20"/>
              </w:rPr>
              <w:t>，</w:t>
            </w:r>
            <w:r>
              <w:rPr>
                <w:rFonts w:ascii="Times New Roman" w:hAnsi="Times New Roman"/>
                <w:kern w:val="0"/>
                <w:sz w:val="20"/>
                <w:szCs w:val="20"/>
              </w:rPr>
              <w:t>等效焦距：40 mm</w:t>
            </w:r>
            <w:r>
              <w:rPr>
                <w:rFonts w:hint="eastAsia" w:ascii="Times New Roman" w:hAnsi="Times New Roman"/>
                <w:kern w:val="0"/>
                <w:sz w:val="20"/>
                <w:szCs w:val="20"/>
              </w:rPr>
              <w:t>，</w:t>
            </w:r>
            <w:r>
              <w:rPr>
                <w:rFonts w:ascii="Times New Roman" w:hAnsi="Times New Roman"/>
                <w:kern w:val="0"/>
                <w:sz w:val="20"/>
                <w:szCs w:val="20"/>
              </w:rPr>
              <w:t>光圈：f/1.0</w:t>
            </w:r>
            <w:r>
              <w:rPr>
                <w:rFonts w:hint="eastAsia" w:ascii="Times New Roman" w:hAnsi="Times New Roman"/>
                <w:kern w:val="0"/>
                <w:sz w:val="20"/>
                <w:szCs w:val="20"/>
              </w:rPr>
              <w:t>，</w:t>
            </w:r>
            <w:r>
              <w:rPr>
                <w:rFonts w:ascii="Times New Roman" w:hAnsi="Times New Roman"/>
                <w:kern w:val="0"/>
                <w:sz w:val="20"/>
                <w:szCs w:val="20"/>
              </w:rPr>
              <w:t>对焦距离：5 米至无穷远</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灵敏度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≤50 mk@F1.1</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测温方式</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点测温、区域测温</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测温范围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-20℃ 至 150℃（高增益模式）</w:t>
            </w:r>
            <w:r>
              <w:rPr>
                <w:rFonts w:hint="eastAsia" w:ascii="Times New Roman" w:hAnsi="Times New Roman"/>
                <w:kern w:val="0"/>
                <w:sz w:val="20"/>
                <w:szCs w:val="20"/>
              </w:rPr>
              <w:t>，</w:t>
            </w:r>
            <w:r>
              <w:rPr>
                <w:rFonts w:ascii="Times New Roman" w:hAnsi="Times New Roman"/>
                <w:kern w:val="0"/>
                <w:sz w:val="20"/>
                <w:szCs w:val="20"/>
              </w:rPr>
              <w:t>0℃ 至 500℃（低增益模式）</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录像分辨率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普通模式：640 × 512@30fps</w:t>
            </w:r>
          </w:p>
          <w:p>
            <w:pPr>
              <w:widowControl/>
              <w:rPr>
                <w:rFonts w:ascii="Times New Roman" w:hAnsi="Times New Roman"/>
                <w:kern w:val="0"/>
                <w:sz w:val="20"/>
                <w:szCs w:val="20"/>
              </w:rPr>
            </w:pPr>
            <w:r>
              <w:rPr>
                <w:rFonts w:ascii="Times New Roman" w:hAnsi="Times New Roman"/>
                <w:kern w:val="0"/>
                <w:sz w:val="20"/>
                <w:szCs w:val="20"/>
              </w:rPr>
              <w:t>超分模式：1280 × 1024@30fps</w:t>
            </w:r>
          </w:p>
          <w:p>
            <w:pPr>
              <w:widowControl/>
              <w:rPr>
                <w:rFonts w:ascii="Times New Roman" w:hAnsi="Times New Roman"/>
                <w:kern w:val="0"/>
                <w:sz w:val="20"/>
                <w:szCs w:val="20"/>
              </w:rPr>
            </w:pPr>
            <w:r>
              <w:rPr>
                <w:rFonts w:ascii="Times New Roman" w:hAnsi="Times New Roman"/>
                <w:kern w:val="0"/>
                <w:sz w:val="20"/>
                <w:szCs w:val="20"/>
              </w:rPr>
              <w:t>飞行器</w:t>
            </w:r>
            <w:r>
              <w:rPr>
                <w:rFonts w:hint="eastAsia" w:ascii="Times New Roman" w:hAnsi="Times New Roman"/>
                <w:kern w:val="0"/>
                <w:sz w:val="20"/>
                <w:szCs w:val="20"/>
              </w:rPr>
              <w:t>具备</w:t>
            </w:r>
            <w:r>
              <w:rPr>
                <w:rFonts w:ascii="Times New Roman" w:hAnsi="Times New Roman"/>
                <w:kern w:val="0"/>
                <w:sz w:val="20"/>
                <w:szCs w:val="20"/>
              </w:rPr>
              <w:t>根据环境光亮度自动开启或关闭超分模式</w:t>
            </w:r>
            <w:r>
              <w:rPr>
                <w:rFonts w:hint="eastAsia" w:ascii="Times New Roman" w:hAnsi="Times New Roman"/>
                <w:kern w:val="0"/>
                <w:sz w:val="20"/>
                <w:szCs w:val="20"/>
              </w:rPr>
              <w:t>的功能</w:t>
            </w:r>
            <w:r>
              <w:rPr>
                <w:rFonts w:ascii="Times New Roman" w:hAnsi="Times New Roman"/>
                <w:kern w:val="0"/>
                <w:sz w:val="20"/>
                <w:szCs w:val="20"/>
              </w:rPr>
              <w:t>。</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视频码率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6Mbps</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照片拍摄模式及参数</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单张拍摄</w:t>
            </w:r>
          </w:p>
          <w:p>
            <w:pPr>
              <w:widowControl/>
              <w:rPr>
                <w:rFonts w:ascii="Times New Roman" w:hAnsi="Times New Roman"/>
                <w:kern w:val="0"/>
                <w:sz w:val="20"/>
                <w:szCs w:val="20"/>
              </w:rPr>
            </w:pPr>
            <w:r>
              <w:rPr>
                <w:rFonts w:ascii="Times New Roman" w:hAnsi="Times New Roman"/>
                <w:kern w:val="0"/>
                <w:sz w:val="20"/>
                <w:szCs w:val="20"/>
              </w:rPr>
              <w:t>普通模式：640 × 512</w:t>
            </w:r>
          </w:p>
          <w:p>
            <w:pPr>
              <w:widowControl/>
              <w:rPr>
                <w:rFonts w:ascii="Times New Roman" w:hAnsi="Times New Roman"/>
                <w:kern w:val="0"/>
                <w:sz w:val="20"/>
                <w:szCs w:val="20"/>
              </w:rPr>
            </w:pPr>
            <w:r>
              <w:rPr>
                <w:rFonts w:ascii="Times New Roman" w:hAnsi="Times New Roman"/>
                <w:kern w:val="0"/>
                <w:sz w:val="20"/>
                <w:szCs w:val="20"/>
              </w:rPr>
              <w:t>超分模式：1280 × 1024</w:t>
            </w:r>
          </w:p>
          <w:p>
            <w:pPr>
              <w:widowControl/>
              <w:rPr>
                <w:rFonts w:ascii="Times New Roman" w:hAnsi="Times New Roman"/>
                <w:kern w:val="0"/>
                <w:sz w:val="20"/>
                <w:szCs w:val="20"/>
              </w:rPr>
            </w:pPr>
            <w:r>
              <w:rPr>
                <w:rFonts w:ascii="Times New Roman" w:hAnsi="Times New Roman"/>
                <w:kern w:val="0"/>
                <w:sz w:val="20"/>
                <w:szCs w:val="20"/>
              </w:rPr>
              <w:t>定时拍摄</w:t>
            </w:r>
          </w:p>
          <w:p>
            <w:pPr>
              <w:widowControl/>
              <w:rPr>
                <w:rFonts w:ascii="Times New Roman" w:hAnsi="Times New Roman"/>
                <w:kern w:val="0"/>
                <w:sz w:val="20"/>
                <w:szCs w:val="20"/>
              </w:rPr>
            </w:pPr>
            <w:r>
              <w:rPr>
                <w:rFonts w:ascii="Times New Roman" w:hAnsi="Times New Roman"/>
                <w:kern w:val="0"/>
                <w:sz w:val="20"/>
                <w:szCs w:val="20"/>
              </w:rPr>
              <w:t>普通模式：640 × 512，0.7/1/2/3/5/7/10/15/20/30/60 秒</w:t>
            </w:r>
          </w:p>
          <w:p>
            <w:pPr>
              <w:widowControl/>
              <w:rPr>
                <w:rFonts w:ascii="Times New Roman" w:hAnsi="Times New Roman"/>
                <w:kern w:val="0"/>
                <w:sz w:val="20"/>
                <w:szCs w:val="20"/>
              </w:rPr>
            </w:pPr>
            <w:r>
              <w:rPr>
                <w:rFonts w:ascii="Times New Roman" w:hAnsi="Times New Roman"/>
                <w:kern w:val="0"/>
                <w:sz w:val="20"/>
                <w:szCs w:val="20"/>
              </w:rPr>
              <w:t>超分模式：1280 × 1024，0.7/1/2/3/5/7/10/15/20/30/60 秒</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数字变焦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28 倍</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红外波长</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8 μm 至 14 μm</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红外测温精度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 或 ±2%，取较大值</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hint="eastAsia" w:ascii="Times New Roman" w:hAnsi="Times New Roman"/>
                <w:b/>
                <w:bCs/>
                <w:kern w:val="0"/>
                <w:sz w:val="20"/>
                <w:szCs w:val="20"/>
              </w:rPr>
              <w:t>飞行器-云台</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稳定系统</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3 轴机械云台（俯仰、横滚、平移）</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结构设计范围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俯仰：</w:t>
            </w:r>
            <w:r>
              <w:rPr>
                <w:rFonts w:ascii="Times New Roman" w:hAnsi="Times New Roman"/>
                <w:kern w:val="0"/>
                <w:sz w:val="20"/>
                <w:szCs w:val="20"/>
              </w:rPr>
              <w:t>-135° 至 +45°</w:t>
            </w:r>
          </w:p>
          <w:p>
            <w:pPr>
              <w:widowControl/>
              <w:rPr>
                <w:rFonts w:ascii="Times New Roman" w:hAnsi="Times New Roman"/>
                <w:kern w:val="0"/>
                <w:sz w:val="20"/>
                <w:szCs w:val="20"/>
              </w:rPr>
            </w:pPr>
            <w:r>
              <w:rPr>
                <w:rFonts w:hint="eastAsia" w:ascii="Times New Roman" w:hAnsi="Times New Roman"/>
                <w:kern w:val="0"/>
                <w:sz w:val="20"/>
                <w:szCs w:val="20"/>
              </w:rPr>
              <w:t>横滚：</w:t>
            </w:r>
            <w:r>
              <w:rPr>
                <w:rFonts w:ascii="Times New Roman" w:hAnsi="Times New Roman"/>
                <w:kern w:val="0"/>
                <w:sz w:val="20"/>
                <w:szCs w:val="20"/>
              </w:rPr>
              <w:t>-45° 至 +45°</w:t>
            </w:r>
          </w:p>
          <w:p>
            <w:pPr>
              <w:widowControl/>
              <w:rPr>
                <w:rFonts w:ascii="Times New Roman" w:hAnsi="Times New Roman"/>
                <w:kern w:val="0"/>
                <w:sz w:val="20"/>
                <w:szCs w:val="20"/>
              </w:rPr>
            </w:pPr>
            <w:r>
              <w:rPr>
                <w:rFonts w:hint="eastAsia" w:ascii="Times New Roman" w:hAnsi="Times New Roman"/>
                <w:kern w:val="0"/>
                <w:sz w:val="20"/>
                <w:szCs w:val="20"/>
              </w:rPr>
              <w:t>平移：</w:t>
            </w:r>
            <w:r>
              <w:rPr>
                <w:rFonts w:ascii="Times New Roman" w:hAnsi="Times New Roman"/>
                <w:kern w:val="0"/>
                <w:sz w:val="20"/>
                <w:szCs w:val="20"/>
              </w:rPr>
              <w:t>-27° 至 +27°</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可控转动范围</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俯仰：</w:t>
            </w:r>
            <w:r>
              <w:rPr>
                <w:rFonts w:ascii="Times New Roman" w:hAnsi="Times New Roman"/>
                <w:kern w:val="0"/>
                <w:sz w:val="20"/>
                <w:szCs w:val="20"/>
              </w:rPr>
              <w:t>-90° 至 +35°</w:t>
            </w:r>
          </w:p>
          <w:p>
            <w:pPr>
              <w:widowControl/>
              <w:rPr>
                <w:rFonts w:ascii="Times New Roman" w:hAnsi="Times New Roman"/>
                <w:kern w:val="0"/>
                <w:sz w:val="20"/>
                <w:szCs w:val="20"/>
              </w:rPr>
            </w:pPr>
            <w:r>
              <w:rPr>
                <w:rFonts w:hint="eastAsia" w:ascii="Times New Roman" w:hAnsi="Times New Roman"/>
                <w:kern w:val="0"/>
                <w:sz w:val="20"/>
                <w:szCs w:val="20"/>
              </w:rPr>
              <w:t>平移：不可控</w:t>
            </w:r>
          </w:p>
        </w:tc>
      </w:tr>
      <w:tr>
        <w:tblPrEx>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hint="eastAsia" w:ascii="Times New Roman" w:hAnsi="Times New Roman"/>
                <w:kern w:val="0"/>
                <w:sz w:val="20"/>
                <w:szCs w:val="20"/>
              </w:rPr>
              <w:t>★</w:t>
            </w:r>
            <w:r>
              <w:rPr>
                <w:rFonts w:hint="eastAsia" w:ascii="Times New Roman" w:hAnsi="Times New Roman"/>
                <w:b/>
                <w:bCs/>
                <w:kern w:val="0"/>
                <w:sz w:val="20"/>
                <w:szCs w:val="20"/>
              </w:rPr>
              <w:t>飞行器-感知</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感知系统类型</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机身六向避障（飞行器后上方允许最大有</w:t>
            </w:r>
            <w:r>
              <w:rPr>
                <w:rFonts w:ascii="Times New Roman" w:hAnsi="Times New Roman"/>
                <w:kern w:val="0"/>
                <w:sz w:val="20"/>
                <w:szCs w:val="20"/>
              </w:rPr>
              <w:t xml:space="preserve"> 10° 视觉盲区</w:t>
            </w:r>
            <w:r>
              <w:rPr>
                <w:rFonts w:hint="eastAsia" w:ascii="Times New Roman" w:hAnsi="Times New Roman"/>
                <w:kern w:val="0"/>
                <w:sz w:val="20"/>
                <w:szCs w:val="20"/>
              </w:rPr>
              <w:t>）</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前视</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测距范围：</w:t>
            </w:r>
            <w:r>
              <w:rPr>
                <w:rFonts w:ascii="Times New Roman" w:hAnsi="Times New Roman"/>
                <w:kern w:val="0"/>
                <w:sz w:val="20"/>
                <w:szCs w:val="20"/>
              </w:rPr>
              <w:t>0.5 米至 21 米</w:t>
            </w:r>
          </w:p>
          <w:p>
            <w:pPr>
              <w:widowControl/>
              <w:rPr>
                <w:rFonts w:ascii="Times New Roman" w:hAnsi="Times New Roman"/>
                <w:kern w:val="0"/>
                <w:sz w:val="20"/>
                <w:szCs w:val="20"/>
              </w:rPr>
            </w:pPr>
            <w:r>
              <w:rPr>
                <w:rFonts w:hint="eastAsia" w:ascii="Times New Roman" w:hAnsi="Times New Roman"/>
                <w:kern w:val="0"/>
                <w:sz w:val="20"/>
                <w:szCs w:val="20"/>
              </w:rPr>
              <w:t>可探测范围：</w:t>
            </w:r>
            <w:r>
              <w:rPr>
                <w:rFonts w:ascii="Times New Roman" w:hAnsi="Times New Roman"/>
                <w:kern w:val="0"/>
                <w:sz w:val="20"/>
                <w:szCs w:val="20"/>
              </w:rPr>
              <w:t>0.5 米至 200 米</w:t>
            </w:r>
          </w:p>
          <w:p>
            <w:pPr>
              <w:widowControl/>
              <w:rPr>
                <w:rFonts w:ascii="Times New Roman" w:hAnsi="Times New Roman"/>
                <w:kern w:val="0"/>
                <w:sz w:val="20"/>
                <w:szCs w:val="20"/>
              </w:rPr>
            </w:pPr>
            <w:r>
              <w:rPr>
                <w:rFonts w:hint="eastAsia" w:ascii="Times New Roman" w:hAnsi="Times New Roman"/>
                <w:kern w:val="0"/>
                <w:sz w:val="20"/>
                <w:szCs w:val="20"/>
              </w:rPr>
              <w:t>有效避障速度：飞行速度</w:t>
            </w:r>
            <w:r>
              <w:rPr>
                <w:rFonts w:ascii="Times New Roman" w:hAnsi="Times New Roman"/>
                <w:kern w:val="0"/>
                <w:sz w:val="20"/>
                <w:szCs w:val="20"/>
              </w:rPr>
              <w:t xml:space="preserve"> ≤ 15 米/秒</w:t>
            </w:r>
          </w:p>
          <w:p>
            <w:pPr>
              <w:widowControl/>
              <w:rPr>
                <w:rFonts w:ascii="Times New Roman" w:hAnsi="Times New Roman"/>
                <w:kern w:val="0"/>
                <w:sz w:val="20"/>
                <w:szCs w:val="20"/>
              </w:rPr>
            </w:pPr>
            <w:r>
              <w:rPr>
                <w:rFonts w:hint="eastAsia" w:ascii="Times New Roman" w:hAnsi="Times New Roman"/>
                <w:kern w:val="0"/>
                <w:sz w:val="20"/>
                <w:szCs w:val="20"/>
              </w:rPr>
              <w:t>视角（</w:t>
            </w:r>
            <w:r>
              <w:rPr>
                <w:rFonts w:ascii="Times New Roman" w:hAnsi="Times New Roman"/>
                <w:kern w:val="0"/>
                <w:sz w:val="20"/>
                <w:szCs w:val="20"/>
              </w:rPr>
              <w:t>FOV）：水平 90°，垂直 90°</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后视</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测距范围：</w:t>
            </w:r>
            <w:r>
              <w:rPr>
                <w:rFonts w:ascii="Times New Roman" w:hAnsi="Times New Roman"/>
                <w:kern w:val="0"/>
                <w:sz w:val="20"/>
                <w:szCs w:val="20"/>
              </w:rPr>
              <w:t>0.5 米至 23 米</w:t>
            </w:r>
          </w:p>
          <w:p>
            <w:pPr>
              <w:widowControl/>
              <w:rPr>
                <w:rFonts w:ascii="Times New Roman" w:hAnsi="Times New Roman"/>
                <w:kern w:val="0"/>
                <w:sz w:val="20"/>
                <w:szCs w:val="20"/>
              </w:rPr>
            </w:pPr>
            <w:r>
              <w:rPr>
                <w:rFonts w:hint="eastAsia" w:ascii="Times New Roman" w:hAnsi="Times New Roman"/>
                <w:kern w:val="0"/>
                <w:sz w:val="20"/>
                <w:szCs w:val="20"/>
              </w:rPr>
              <w:t>有效避障速度：飞行速度</w:t>
            </w:r>
            <w:r>
              <w:rPr>
                <w:rFonts w:ascii="Times New Roman" w:hAnsi="Times New Roman"/>
                <w:kern w:val="0"/>
                <w:sz w:val="20"/>
                <w:szCs w:val="20"/>
              </w:rPr>
              <w:t xml:space="preserve"> ≤ 12 米/秒</w:t>
            </w:r>
          </w:p>
          <w:p>
            <w:pPr>
              <w:widowControl/>
              <w:rPr>
                <w:rFonts w:ascii="Times New Roman" w:hAnsi="Times New Roman"/>
                <w:kern w:val="0"/>
                <w:sz w:val="20"/>
                <w:szCs w:val="20"/>
              </w:rPr>
            </w:pPr>
            <w:r>
              <w:rPr>
                <w:rFonts w:hint="eastAsia" w:ascii="Times New Roman" w:hAnsi="Times New Roman"/>
                <w:kern w:val="0"/>
                <w:sz w:val="20"/>
                <w:szCs w:val="20"/>
              </w:rPr>
              <w:t>视角（</w:t>
            </w:r>
            <w:r>
              <w:rPr>
                <w:rFonts w:ascii="Times New Roman" w:hAnsi="Times New Roman"/>
                <w:kern w:val="0"/>
                <w:sz w:val="20"/>
                <w:szCs w:val="20"/>
              </w:rPr>
              <w:t>FOV）：水平 90°，垂直 90°</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侧视</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测距范围：</w:t>
            </w:r>
            <w:r>
              <w:rPr>
                <w:rFonts w:ascii="Times New Roman" w:hAnsi="Times New Roman"/>
                <w:kern w:val="0"/>
                <w:sz w:val="20"/>
                <w:szCs w:val="20"/>
              </w:rPr>
              <w:t>0.5 米至 15 米</w:t>
            </w:r>
          </w:p>
          <w:p>
            <w:pPr>
              <w:widowControl/>
              <w:rPr>
                <w:rFonts w:ascii="Times New Roman" w:hAnsi="Times New Roman"/>
                <w:kern w:val="0"/>
                <w:sz w:val="20"/>
                <w:szCs w:val="20"/>
              </w:rPr>
            </w:pPr>
            <w:r>
              <w:rPr>
                <w:rFonts w:hint="eastAsia" w:ascii="Times New Roman" w:hAnsi="Times New Roman"/>
                <w:kern w:val="0"/>
                <w:sz w:val="20"/>
                <w:szCs w:val="20"/>
              </w:rPr>
              <w:t>有效避障速度：飞行速度</w:t>
            </w:r>
            <w:r>
              <w:rPr>
                <w:rFonts w:ascii="Times New Roman" w:hAnsi="Times New Roman"/>
                <w:kern w:val="0"/>
                <w:sz w:val="20"/>
                <w:szCs w:val="20"/>
              </w:rPr>
              <w:t xml:space="preserve"> ≤ 10 米/秒</w:t>
            </w:r>
          </w:p>
          <w:p>
            <w:pPr>
              <w:widowControl/>
              <w:rPr>
                <w:rFonts w:ascii="Times New Roman" w:hAnsi="Times New Roman"/>
                <w:kern w:val="0"/>
                <w:sz w:val="20"/>
                <w:szCs w:val="20"/>
              </w:rPr>
            </w:pPr>
            <w:r>
              <w:rPr>
                <w:rFonts w:hint="eastAsia" w:ascii="Times New Roman" w:hAnsi="Times New Roman"/>
                <w:kern w:val="0"/>
                <w:sz w:val="20"/>
                <w:szCs w:val="20"/>
              </w:rPr>
              <w:t>视角（</w:t>
            </w:r>
            <w:r>
              <w:rPr>
                <w:rFonts w:ascii="Times New Roman" w:hAnsi="Times New Roman"/>
                <w:kern w:val="0"/>
                <w:sz w:val="20"/>
                <w:szCs w:val="20"/>
              </w:rPr>
              <w:t>FOV）：水平 104°，垂直 90°</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上视</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测距范围：</w:t>
            </w:r>
            <w:r>
              <w:rPr>
                <w:rFonts w:ascii="Times New Roman" w:hAnsi="Times New Roman"/>
                <w:kern w:val="0"/>
                <w:sz w:val="20"/>
                <w:szCs w:val="20"/>
              </w:rPr>
              <w:t>0.5 米至 21 米</w:t>
            </w:r>
          </w:p>
          <w:p>
            <w:pPr>
              <w:widowControl/>
              <w:rPr>
                <w:rFonts w:ascii="Times New Roman" w:hAnsi="Times New Roman"/>
                <w:kern w:val="0"/>
                <w:sz w:val="20"/>
                <w:szCs w:val="20"/>
              </w:rPr>
            </w:pPr>
            <w:r>
              <w:rPr>
                <w:rFonts w:hint="eastAsia" w:ascii="Times New Roman" w:hAnsi="Times New Roman"/>
                <w:kern w:val="0"/>
                <w:sz w:val="20"/>
                <w:szCs w:val="20"/>
              </w:rPr>
              <w:t>有效避障速度：飞行速度</w:t>
            </w:r>
            <w:r>
              <w:rPr>
                <w:rFonts w:ascii="Times New Roman" w:hAnsi="Times New Roman"/>
                <w:kern w:val="0"/>
                <w:sz w:val="20"/>
                <w:szCs w:val="20"/>
              </w:rPr>
              <w:t xml:space="preserve"> ≤ 6 米/秒</w:t>
            </w:r>
          </w:p>
          <w:p>
            <w:pPr>
              <w:widowControl/>
              <w:rPr>
                <w:rFonts w:ascii="Times New Roman" w:hAnsi="Times New Roman"/>
                <w:kern w:val="0"/>
                <w:sz w:val="20"/>
                <w:szCs w:val="20"/>
              </w:rPr>
            </w:pPr>
            <w:r>
              <w:rPr>
                <w:rFonts w:hint="eastAsia" w:ascii="Times New Roman" w:hAnsi="Times New Roman"/>
                <w:kern w:val="0"/>
                <w:sz w:val="20"/>
                <w:szCs w:val="20"/>
              </w:rPr>
              <w:t>视角（</w:t>
            </w:r>
            <w:r>
              <w:rPr>
                <w:rFonts w:ascii="Times New Roman" w:hAnsi="Times New Roman"/>
                <w:kern w:val="0"/>
                <w:sz w:val="20"/>
                <w:szCs w:val="20"/>
              </w:rPr>
              <w:t>FOV）：水平 90°，垂直 90°</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下视</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测距范围：</w:t>
            </w:r>
            <w:r>
              <w:rPr>
                <w:rFonts w:ascii="Times New Roman" w:hAnsi="Times New Roman"/>
                <w:kern w:val="0"/>
                <w:sz w:val="20"/>
                <w:szCs w:val="20"/>
              </w:rPr>
              <w:t>0.5 米至 14 米</w:t>
            </w:r>
          </w:p>
          <w:p>
            <w:pPr>
              <w:widowControl/>
              <w:rPr>
                <w:rFonts w:ascii="Times New Roman" w:hAnsi="Times New Roman"/>
                <w:kern w:val="0"/>
                <w:sz w:val="20"/>
                <w:szCs w:val="20"/>
              </w:rPr>
            </w:pPr>
            <w:r>
              <w:rPr>
                <w:rFonts w:hint="eastAsia" w:ascii="Times New Roman" w:hAnsi="Times New Roman"/>
                <w:kern w:val="0"/>
                <w:sz w:val="20"/>
                <w:szCs w:val="20"/>
              </w:rPr>
              <w:t>有效避障速度：飞行速度</w:t>
            </w:r>
            <w:r>
              <w:rPr>
                <w:rFonts w:ascii="Times New Roman" w:hAnsi="Times New Roman"/>
                <w:kern w:val="0"/>
                <w:sz w:val="20"/>
                <w:szCs w:val="20"/>
              </w:rPr>
              <w:t xml:space="preserve"> ≤ 6 米/秒</w:t>
            </w:r>
          </w:p>
          <w:p>
            <w:pPr>
              <w:widowControl/>
              <w:rPr>
                <w:rFonts w:ascii="Times New Roman" w:hAnsi="Times New Roman"/>
                <w:kern w:val="0"/>
                <w:sz w:val="20"/>
                <w:szCs w:val="20"/>
              </w:rPr>
            </w:pPr>
            <w:r>
              <w:rPr>
                <w:rFonts w:hint="eastAsia" w:ascii="Times New Roman" w:hAnsi="Times New Roman"/>
                <w:kern w:val="0"/>
                <w:sz w:val="20"/>
                <w:szCs w:val="20"/>
              </w:rPr>
              <w:t>视角（</w:t>
            </w:r>
            <w:r>
              <w:rPr>
                <w:rFonts w:ascii="Times New Roman" w:hAnsi="Times New Roman"/>
                <w:kern w:val="0"/>
                <w:sz w:val="20"/>
                <w:szCs w:val="20"/>
              </w:rPr>
              <w:t>FOV）：水平 110°，垂直 95°</w:t>
            </w:r>
          </w:p>
        </w:tc>
      </w:tr>
      <w:tr>
        <w:tblPrEx>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hint="eastAsia" w:ascii="Times New Roman" w:hAnsi="Times New Roman"/>
                <w:b/>
                <w:bCs/>
                <w:kern w:val="0"/>
                <w:sz w:val="20"/>
                <w:szCs w:val="20"/>
              </w:rPr>
              <w:t>飞行器-图传</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实时图传质量</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720p/30fps，1080p/30fps（配合</w:t>
            </w:r>
            <w:r>
              <w:rPr>
                <w:rFonts w:hint="eastAsia" w:ascii="Times New Roman" w:hAnsi="Times New Roman"/>
                <w:kern w:val="0"/>
                <w:sz w:val="20"/>
                <w:szCs w:val="20"/>
              </w:rPr>
              <w:t>遥控器</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540p/30fps，720p/30fps，1080p/30fps（配合云平台）</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工作频段</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2.400 GHz 至 2.4835 GHz</w:t>
            </w:r>
          </w:p>
          <w:p>
            <w:pPr>
              <w:widowControl/>
              <w:rPr>
                <w:rFonts w:ascii="Times New Roman" w:hAnsi="Times New Roman"/>
                <w:kern w:val="0"/>
                <w:sz w:val="20"/>
                <w:szCs w:val="20"/>
              </w:rPr>
            </w:pPr>
            <w:r>
              <w:rPr>
                <w:rFonts w:ascii="Times New Roman" w:hAnsi="Times New Roman"/>
                <w:kern w:val="0"/>
                <w:sz w:val="20"/>
                <w:szCs w:val="20"/>
              </w:rPr>
              <w:t>5.725 GHz 至 5.850 GHz</w:t>
            </w:r>
          </w:p>
          <w:p>
            <w:pPr>
              <w:widowControl/>
              <w:rPr>
                <w:rFonts w:ascii="Times New Roman" w:hAnsi="Times New Roman"/>
                <w:kern w:val="0"/>
                <w:sz w:val="20"/>
                <w:szCs w:val="20"/>
              </w:rPr>
            </w:pPr>
            <w:r>
              <w:rPr>
                <w:rFonts w:ascii="Times New Roman" w:hAnsi="Times New Roman"/>
                <w:kern w:val="0"/>
                <w:sz w:val="20"/>
                <w:szCs w:val="20"/>
              </w:rPr>
              <w:t>5.150 GHz 至 5.250 GHz</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★最大信号有效距离</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室外空旷无干扰环境下：</w:t>
            </w:r>
          </w:p>
          <w:p>
            <w:pPr>
              <w:widowControl/>
              <w:rPr>
                <w:rFonts w:ascii="Times New Roman" w:hAnsi="Times New Roman"/>
                <w:kern w:val="0"/>
                <w:sz w:val="20"/>
                <w:szCs w:val="20"/>
              </w:rPr>
            </w:pPr>
            <w:r>
              <w:rPr>
                <w:rFonts w:ascii="Times New Roman" w:hAnsi="Times New Roman"/>
                <w:kern w:val="0"/>
                <w:sz w:val="20"/>
                <w:szCs w:val="20"/>
              </w:rPr>
              <w:t>FCC：15 公里</w:t>
            </w:r>
            <w:r>
              <w:rPr>
                <w:rFonts w:hint="eastAsia" w:ascii="Times New Roman" w:hAnsi="Times New Roman"/>
                <w:kern w:val="0"/>
                <w:sz w:val="20"/>
                <w:szCs w:val="20"/>
              </w:rPr>
              <w:t>，</w:t>
            </w:r>
            <w:r>
              <w:rPr>
                <w:rFonts w:ascii="Times New Roman" w:hAnsi="Times New Roman"/>
                <w:kern w:val="0"/>
                <w:sz w:val="20"/>
                <w:szCs w:val="20"/>
              </w:rPr>
              <w:t>CE：8 公里</w:t>
            </w:r>
            <w:r>
              <w:rPr>
                <w:rFonts w:hint="eastAsia" w:ascii="Times New Roman" w:hAnsi="Times New Roman"/>
                <w:kern w:val="0"/>
                <w:sz w:val="20"/>
                <w:szCs w:val="20"/>
              </w:rPr>
              <w:t>，</w:t>
            </w:r>
            <w:r>
              <w:rPr>
                <w:rFonts w:ascii="Times New Roman" w:hAnsi="Times New Roman"/>
                <w:kern w:val="0"/>
                <w:sz w:val="20"/>
                <w:szCs w:val="20"/>
              </w:rPr>
              <w:t>SRRC：8 公里</w:t>
            </w:r>
            <w:r>
              <w:rPr>
                <w:rFonts w:hint="eastAsia" w:ascii="Times New Roman" w:hAnsi="Times New Roman"/>
                <w:kern w:val="0"/>
                <w:sz w:val="20"/>
                <w:szCs w:val="20"/>
              </w:rPr>
              <w:t>，</w:t>
            </w:r>
            <w:r>
              <w:rPr>
                <w:rFonts w:ascii="Times New Roman" w:hAnsi="Times New Roman"/>
                <w:kern w:val="0"/>
                <w:sz w:val="20"/>
                <w:szCs w:val="20"/>
              </w:rPr>
              <w:t>MIC：8 公里</w:t>
            </w:r>
            <w:r>
              <w:rPr>
                <w:rFonts w:hint="eastAsia" w:ascii="Times New Roman" w:hAnsi="Times New Roman"/>
                <w:kern w:val="0"/>
                <w:sz w:val="20"/>
                <w:szCs w:val="20"/>
              </w:rPr>
              <w:t>；</w:t>
            </w:r>
          </w:p>
          <w:p>
            <w:pPr>
              <w:widowControl/>
              <w:rPr>
                <w:rFonts w:ascii="Times New Roman" w:hAnsi="Times New Roman"/>
                <w:kern w:val="0"/>
                <w:sz w:val="20"/>
                <w:szCs w:val="20"/>
              </w:rPr>
            </w:pPr>
            <w:r>
              <w:rPr>
                <w:rFonts w:hint="eastAsia" w:ascii="Times New Roman" w:hAnsi="Times New Roman"/>
                <w:kern w:val="0"/>
                <w:sz w:val="20"/>
                <w:szCs w:val="20"/>
              </w:rPr>
              <w:t>不安装第三方负载并遇到干扰时：</w:t>
            </w:r>
          </w:p>
          <w:p>
            <w:pPr>
              <w:widowControl/>
              <w:rPr>
                <w:rFonts w:ascii="Times New Roman" w:hAnsi="Times New Roman"/>
                <w:kern w:val="0"/>
                <w:sz w:val="20"/>
                <w:szCs w:val="20"/>
              </w:rPr>
            </w:pPr>
            <w:r>
              <w:rPr>
                <w:rFonts w:hint="eastAsia" w:ascii="Times New Roman" w:hAnsi="Times New Roman"/>
                <w:kern w:val="0"/>
                <w:sz w:val="20"/>
                <w:szCs w:val="20"/>
              </w:rPr>
              <w:t>强干扰（密集楼宇、居民区等）：</w:t>
            </w:r>
            <w:r>
              <w:rPr>
                <w:rFonts w:ascii="Times New Roman" w:hAnsi="Times New Roman"/>
                <w:kern w:val="0"/>
                <w:sz w:val="20"/>
                <w:szCs w:val="20"/>
              </w:rPr>
              <w:t>1.5 公里至 3 公里（FCC/CE/SRRC/MIC）</w:t>
            </w:r>
          </w:p>
          <w:p>
            <w:pPr>
              <w:widowControl/>
              <w:rPr>
                <w:rFonts w:ascii="Times New Roman" w:hAnsi="Times New Roman"/>
                <w:kern w:val="0"/>
                <w:sz w:val="20"/>
                <w:szCs w:val="20"/>
              </w:rPr>
            </w:pPr>
            <w:r>
              <w:rPr>
                <w:rFonts w:hint="eastAsia" w:ascii="Times New Roman" w:hAnsi="Times New Roman"/>
                <w:kern w:val="0"/>
                <w:sz w:val="20"/>
                <w:szCs w:val="20"/>
              </w:rPr>
              <w:t>中干扰（城郊县城、城市公园等）：</w:t>
            </w:r>
            <w:r>
              <w:rPr>
                <w:rFonts w:ascii="Times New Roman" w:hAnsi="Times New Roman"/>
                <w:kern w:val="0"/>
                <w:sz w:val="20"/>
                <w:szCs w:val="20"/>
              </w:rPr>
              <w:t>3 公里至 9 公里（FCC），3 公里至 6 公里（CE/SRRC/MIC）</w:t>
            </w:r>
          </w:p>
          <w:p>
            <w:pPr>
              <w:widowControl/>
              <w:rPr>
                <w:rFonts w:ascii="Times New Roman" w:hAnsi="Times New Roman"/>
                <w:kern w:val="0"/>
                <w:sz w:val="20"/>
                <w:szCs w:val="20"/>
              </w:rPr>
            </w:pPr>
            <w:r>
              <w:rPr>
                <w:rFonts w:hint="eastAsia" w:ascii="Times New Roman" w:hAnsi="Times New Roman"/>
                <w:kern w:val="0"/>
                <w:sz w:val="20"/>
                <w:szCs w:val="20"/>
              </w:rPr>
              <w:t>弱干扰（远郊野外、开阔农田等）：</w:t>
            </w:r>
            <w:r>
              <w:rPr>
                <w:rFonts w:ascii="Times New Roman" w:hAnsi="Times New Roman"/>
                <w:kern w:val="0"/>
                <w:sz w:val="20"/>
                <w:szCs w:val="20"/>
              </w:rPr>
              <w:t>9 公里至 15 公里（FCC），6 公里至 8 公里（CE/SRRC/MIC）</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最大下载速率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5MB/s（搭配机场）</w:t>
            </w:r>
          </w:p>
          <w:p>
            <w:pPr>
              <w:widowControl/>
              <w:rPr>
                <w:rFonts w:ascii="Times New Roman" w:hAnsi="Times New Roman"/>
                <w:kern w:val="0"/>
                <w:sz w:val="20"/>
                <w:szCs w:val="20"/>
              </w:rPr>
            </w:pPr>
            <w:r>
              <w:rPr>
                <w:rFonts w:ascii="Times New Roman" w:hAnsi="Times New Roman"/>
                <w:kern w:val="0"/>
                <w:sz w:val="20"/>
                <w:szCs w:val="20"/>
              </w:rPr>
              <w:t>15MB/s（搭配</w:t>
            </w:r>
            <w:r>
              <w:rPr>
                <w:rFonts w:hint="eastAsia" w:ascii="Times New Roman" w:hAnsi="Times New Roman"/>
                <w:kern w:val="0"/>
                <w:sz w:val="20"/>
                <w:szCs w:val="20"/>
              </w:rPr>
              <w:t>遥控器</w:t>
            </w:r>
            <w:r>
              <w:rPr>
                <w:rFonts w:ascii="Times New Roman" w:hAnsi="Times New Roman"/>
                <w:kern w:val="0"/>
                <w:sz w:val="20"/>
                <w:szCs w:val="20"/>
              </w:rPr>
              <w:t>）</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天线</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四天线，二发四收</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其他</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支持</w:t>
            </w:r>
            <w:r>
              <w:rPr>
                <w:rFonts w:ascii="Times New Roman" w:hAnsi="Times New Roman"/>
                <w:kern w:val="0"/>
                <w:sz w:val="20"/>
                <w:szCs w:val="20"/>
              </w:rPr>
              <w:t>增强图传模块</w:t>
            </w:r>
          </w:p>
        </w:tc>
      </w:tr>
      <w:tr>
        <w:tblPrEx>
          <w:shd w:val="clear" w:color="auto" w:fill="FFFFFF" w:themeFill="background1"/>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hint="eastAsia" w:ascii="Times New Roman" w:hAnsi="Times New Roman"/>
                <w:b/>
                <w:bCs/>
                <w:kern w:val="0"/>
                <w:sz w:val="20"/>
                <w:szCs w:val="20"/>
              </w:rPr>
              <w:t>飞行器-存储</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支持存储卡类型</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支持</w:t>
            </w:r>
            <w:r>
              <w:rPr>
                <w:rFonts w:ascii="Times New Roman" w:hAnsi="Times New Roman"/>
                <w:kern w:val="0"/>
                <w:sz w:val="20"/>
                <w:szCs w:val="20"/>
              </w:rPr>
              <w:t xml:space="preserve"> U3/Class10/V30 及以上的存储卡</w:t>
            </w:r>
          </w:p>
        </w:tc>
      </w:tr>
    </w:tbl>
    <w:p>
      <w:pPr>
        <w:widowControl/>
        <w:jc w:val="left"/>
        <w:rPr>
          <w:rFonts w:ascii="Times New Roman" w:hAnsi="Times New Roman"/>
          <w:sz w:val="24"/>
          <w:szCs w:val="28"/>
        </w:rPr>
      </w:pPr>
    </w:p>
    <w:p>
      <w:pPr>
        <w:widowControl/>
        <w:jc w:val="left"/>
        <w:rPr>
          <w:rFonts w:ascii="Times New Roman" w:hAnsi="Times New Roman"/>
          <w:b/>
          <w:bCs/>
          <w:sz w:val="28"/>
          <w:szCs w:val="32"/>
        </w:rPr>
      </w:pPr>
      <w:r>
        <w:rPr>
          <w:rFonts w:hint="eastAsia" w:ascii="Times New Roman" w:hAnsi="Times New Roman"/>
          <w:b/>
          <w:bCs/>
          <w:sz w:val="28"/>
          <w:szCs w:val="32"/>
        </w:rPr>
        <w:t>（三）无人机网联终端</w:t>
      </w:r>
    </w:p>
    <w:tbl>
      <w:tblPr>
        <w:tblStyle w:val="28"/>
        <w:tblW w:w="9354" w:type="dxa"/>
        <w:tblInd w:w="0" w:type="dxa"/>
        <w:shd w:val="clear" w:color="auto" w:fill="FFFFFF" w:themeFill="background1"/>
        <w:tblLayout w:type="fixed"/>
        <w:tblCellMar>
          <w:top w:w="0" w:type="dxa"/>
          <w:left w:w="108" w:type="dxa"/>
          <w:bottom w:w="0" w:type="dxa"/>
          <w:right w:w="108" w:type="dxa"/>
        </w:tblCellMar>
      </w:tblPr>
      <w:tblGrid>
        <w:gridCol w:w="2576"/>
        <w:gridCol w:w="6778"/>
      </w:tblGrid>
      <w:tr>
        <w:tblPrEx>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hint="eastAsia" w:ascii="Times New Roman" w:hAnsi="Times New Roman"/>
                <w:kern w:val="0"/>
                <w:sz w:val="20"/>
                <w:szCs w:val="20"/>
              </w:rPr>
              <w:t>★</w:t>
            </w:r>
            <w:r>
              <w:rPr>
                <w:rFonts w:hint="eastAsia" w:ascii="Times New Roman" w:hAnsi="Times New Roman"/>
                <w:b/>
                <w:bCs/>
                <w:kern w:val="0"/>
                <w:sz w:val="20"/>
                <w:szCs w:val="20"/>
              </w:rPr>
              <w:t>网联终端-基础参数</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尺寸规格</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122.57</w:t>
            </w:r>
            <w:r>
              <w:rPr>
                <w:rFonts w:hint="eastAsia" w:ascii="Times New Roman" w:hAnsi="Times New Roman"/>
                <w:kern w:val="0"/>
                <w:sz w:val="20"/>
                <w:szCs w:val="20"/>
              </w:rPr>
              <w:t>mm×</w:t>
            </w:r>
            <w:r>
              <w:rPr>
                <w:rFonts w:ascii="Times New Roman" w:hAnsi="Times New Roman"/>
                <w:kern w:val="0"/>
                <w:sz w:val="20"/>
                <w:szCs w:val="20"/>
              </w:rPr>
              <w:t>60.86</w:t>
            </w:r>
            <w:r>
              <w:rPr>
                <w:rFonts w:hint="eastAsia" w:ascii="Times New Roman" w:hAnsi="Times New Roman"/>
                <w:kern w:val="0"/>
                <w:sz w:val="20"/>
                <w:szCs w:val="20"/>
              </w:rPr>
              <w:t>mm×</w:t>
            </w:r>
            <w:r>
              <w:rPr>
                <w:rFonts w:ascii="Times New Roman" w:hAnsi="Times New Roman"/>
                <w:kern w:val="0"/>
                <w:sz w:val="20"/>
                <w:szCs w:val="20"/>
              </w:rPr>
              <w:t>25.55</w:t>
            </w:r>
            <w:r>
              <w:rPr>
                <w:rFonts w:hint="eastAsia" w:ascii="Times New Roman" w:hAnsi="Times New Roman"/>
                <w:kern w:val="0"/>
                <w:sz w:val="20"/>
                <w:szCs w:val="20"/>
              </w:rPr>
              <w:t>mm（长×宽×高）</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通信能力</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支持</w:t>
            </w:r>
            <w:r>
              <w:rPr>
                <w:rFonts w:ascii="Times New Roman" w:hAnsi="Times New Roman"/>
                <w:kern w:val="0"/>
                <w:sz w:val="20"/>
                <w:szCs w:val="20"/>
              </w:rPr>
              <w:t xml:space="preserve"> 5G(SA/NSA)/4G</w:t>
            </w:r>
          </w:p>
          <w:p>
            <w:pPr>
              <w:widowControl/>
              <w:rPr>
                <w:rFonts w:ascii="Times New Roman" w:hAnsi="Times New Roman"/>
                <w:kern w:val="0"/>
                <w:sz w:val="20"/>
                <w:szCs w:val="20"/>
              </w:rPr>
            </w:pPr>
            <w:r>
              <w:rPr>
                <w:rFonts w:ascii="Times New Roman" w:hAnsi="Times New Roman"/>
                <w:kern w:val="0"/>
                <w:sz w:val="20"/>
                <w:szCs w:val="20"/>
              </w:rPr>
              <w:t>最小测控数据时延＜20ms</w:t>
            </w:r>
          </w:p>
          <w:p>
            <w:pPr>
              <w:widowControl/>
              <w:rPr>
                <w:rFonts w:ascii="Times New Roman" w:hAnsi="Times New Roman"/>
                <w:kern w:val="0"/>
                <w:sz w:val="20"/>
                <w:szCs w:val="20"/>
              </w:rPr>
            </w:pPr>
            <w:r>
              <w:rPr>
                <w:rFonts w:ascii="Times New Roman" w:hAnsi="Times New Roman"/>
                <w:kern w:val="0"/>
                <w:sz w:val="20"/>
                <w:szCs w:val="20"/>
              </w:rPr>
              <w:t>最小实时视频时延＜300ms</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视频参数</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分辨率</w:t>
            </w:r>
            <w:r>
              <w:rPr>
                <w:rFonts w:ascii="Times New Roman" w:hAnsi="Times New Roman"/>
                <w:kern w:val="0"/>
                <w:sz w:val="20"/>
                <w:szCs w:val="20"/>
              </w:rPr>
              <w:t xml:space="preserve"> 1920x1080@30fps</w:t>
            </w:r>
          </w:p>
          <w:p>
            <w:pPr>
              <w:widowControl/>
              <w:rPr>
                <w:rFonts w:ascii="Times New Roman" w:hAnsi="Times New Roman"/>
                <w:kern w:val="0"/>
                <w:sz w:val="20"/>
                <w:szCs w:val="20"/>
              </w:rPr>
            </w:pPr>
            <w:r>
              <w:rPr>
                <w:rFonts w:ascii="Times New Roman" w:hAnsi="Times New Roman"/>
                <w:kern w:val="0"/>
                <w:sz w:val="20"/>
                <w:szCs w:val="20"/>
              </w:rPr>
              <w:t>输出编码 H.264/H.265</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低功耗设计</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功率小于6</w:t>
            </w:r>
            <w:r>
              <w:rPr>
                <w:rFonts w:ascii="Times New Roman" w:hAnsi="Times New Roman"/>
                <w:kern w:val="0"/>
                <w:sz w:val="20"/>
                <w:szCs w:val="20"/>
              </w:rPr>
              <w:t>.0</w:t>
            </w:r>
            <w:r>
              <w:rPr>
                <w:rFonts w:hint="eastAsia" w:ascii="Times New Roman" w:hAnsi="Times New Roman"/>
                <w:kern w:val="0"/>
                <w:sz w:val="20"/>
                <w:szCs w:val="20"/>
              </w:rPr>
              <w:t>W</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飞行高度</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最大高度3</w:t>
            </w:r>
            <w:r>
              <w:rPr>
                <w:rFonts w:ascii="Times New Roman" w:hAnsi="Times New Roman"/>
                <w:kern w:val="0"/>
                <w:sz w:val="20"/>
                <w:szCs w:val="20"/>
              </w:rPr>
              <w:t>00</w:t>
            </w:r>
            <w:r>
              <w:rPr>
                <w:rFonts w:hint="eastAsia" w:ascii="Times New Roman" w:hAnsi="Times New Roman"/>
                <w:kern w:val="0"/>
                <w:sz w:val="20"/>
                <w:szCs w:val="20"/>
              </w:rPr>
              <w:t>m</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工作环境</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工作温度</w:t>
            </w:r>
            <w:r>
              <w:rPr>
                <w:rFonts w:ascii="Times New Roman" w:hAnsi="Times New Roman"/>
                <w:kern w:val="0"/>
                <w:sz w:val="20"/>
                <w:szCs w:val="20"/>
              </w:rPr>
              <w:t>−20℃~50℃</w:t>
            </w:r>
          </w:p>
          <w:p>
            <w:pPr>
              <w:widowControl/>
              <w:rPr>
                <w:rFonts w:ascii="Times New Roman" w:hAnsi="Times New Roman"/>
                <w:kern w:val="0"/>
                <w:sz w:val="20"/>
                <w:szCs w:val="20"/>
              </w:rPr>
            </w:pPr>
            <w:r>
              <w:rPr>
                <w:rFonts w:ascii="Times New Roman" w:hAnsi="Times New Roman"/>
                <w:kern w:val="0"/>
                <w:sz w:val="20"/>
                <w:szCs w:val="20"/>
              </w:rPr>
              <w:t>工作湿度≤80%RH(50℃)</w:t>
            </w:r>
          </w:p>
        </w:tc>
      </w:tr>
      <w:tr>
        <w:tblPrEx>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物理接口</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PSDKx1</w:t>
            </w:r>
          </w:p>
          <w:p>
            <w:pPr>
              <w:widowControl/>
              <w:rPr>
                <w:rFonts w:ascii="Times New Roman" w:hAnsi="Times New Roman"/>
                <w:kern w:val="0"/>
                <w:sz w:val="20"/>
                <w:szCs w:val="20"/>
              </w:rPr>
            </w:pPr>
            <w:r>
              <w:rPr>
                <w:rFonts w:ascii="Times New Roman" w:hAnsi="Times New Roman"/>
                <w:kern w:val="0"/>
                <w:sz w:val="20"/>
                <w:szCs w:val="20"/>
              </w:rPr>
              <w:t>USB2.0（Type-C）x1</w:t>
            </w:r>
          </w:p>
          <w:p>
            <w:pPr>
              <w:widowControl/>
              <w:rPr>
                <w:rFonts w:ascii="Times New Roman" w:hAnsi="Times New Roman"/>
                <w:kern w:val="0"/>
                <w:sz w:val="20"/>
                <w:szCs w:val="20"/>
              </w:rPr>
            </w:pPr>
            <w:r>
              <w:rPr>
                <w:rFonts w:ascii="Times New Roman" w:hAnsi="Times New Roman"/>
                <w:kern w:val="0"/>
                <w:sz w:val="20"/>
                <w:szCs w:val="20"/>
              </w:rPr>
              <w:t>SIM 卡槽 x1</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重量</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小于9</w:t>
            </w:r>
            <w:r>
              <w:rPr>
                <w:rFonts w:ascii="Times New Roman" w:hAnsi="Times New Roman"/>
                <w:kern w:val="0"/>
                <w:sz w:val="20"/>
                <w:szCs w:val="20"/>
              </w:rPr>
              <w:t>2</w:t>
            </w:r>
            <w:r>
              <w:rPr>
                <w:rFonts w:hint="eastAsia" w:ascii="Times New Roman" w:hAnsi="Times New Roman"/>
                <w:kern w:val="0"/>
                <w:sz w:val="20"/>
                <w:szCs w:val="20"/>
              </w:rPr>
              <w:t>g（不含外围配件）</w:t>
            </w:r>
          </w:p>
        </w:tc>
      </w:tr>
      <w:tr>
        <w:tblPrEx>
          <w:tblCellMar>
            <w:top w:w="0" w:type="dxa"/>
            <w:left w:w="108" w:type="dxa"/>
            <w:bottom w:w="0" w:type="dxa"/>
            <w:right w:w="108" w:type="dxa"/>
          </w:tblCellMar>
        </w:tblPrEx>
        <w:trPr>
          <w:trHeight w:val="20" w:hRule="atLeast"/>
        </w:trPr>
        <w:tc>
          <w:tcPr>
            <w:tcW w:w="935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b/>
                <w:bCs/>
                <w:kern w:val="0"/>
                <w:sz w:val="20"/>
                <w:szCs w:val="20"/>
              </w:rPr>
            </w:pPr>
            <w:r>
              <w:rPr>
                <w:rFonts w:hint="eastAsia" w:ascii="Times New Roman" w:hAnsi="Times New Roman"/>
                <w:kern w:val="0"/>
                <w:sz w:val="20"/>
                <w:szCs w:val="20"/>
              </w:rPr>
              <w:t>★</w:t>
            </w:r>
            <w:r>
              <w:rPr>
                <w:rFonts w:hint="eastAsia" w:ascii="Times New Roman" w:hAnsi="Times New Roman"/>
                <w:b/>
                <w:bCs/>
                <w:kern w:val="0"/>
                <w:sz w:val="20"/>
                <w:szCs w:val="20"/>
              </w:rPr>
              <w:t>运营商和支持频段</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运营商</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全网通：国内支持移动、联通、电信、广电等多个运营商的多个频段。</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频段信息</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5G NR NSA</w:t>
            </w:r>
            <w:r>
              <w:rPr>
                <w:rFonts w:hint="eastAsia" w:ascii="Times New Roman" w:hAnsi="Times New Roman"/>
                <w:kern w:val="0"/>
                <w:sz w:val="20"/>
                <w:szCs w:val="20"/>
              </w:rPr>
              <w:t>：</w:t>
            </w:r>
            <w:r>
              <w:rPr>
                <w:rFonts w:ascii="Times New Roman" w:hAnsi="Times New Roman"/>
                <w:kern w:val="0"/>
                <w:sz w:val="20"/>
                <w:szCs w:val="20"/>
              </w:rPr>
              <w:t>n41/n78/n79</w:t>
            </w:r>
          </w:p>
          <w:p>
            <w:pPr>
              <w:widowControl/>
              <w:rPr>
                <w:rFonts w:ascii="Times New Roman" w:hAnsi="Times New Roman"/>
                <w:kern w:val="0"/>
                <w:sz w:val="20"/>
                <w:szCs w:val="20"/>
              </w:rPr>
            </w:pPr>
            <w:r>
              <w:rPr>
                <w:rFonts w:ascii="Times New Roman" w:hAnsi="Times New Roman"/>
                <w:kern w:val="0"/>
                <w:sz w:val="20"/>
                <w:szCs w:val="20"/>
              </w:rPr>
              <w:t>5G NR SA</w:t>
            </w:r>
            <w:r>
              <w:rPr>
                <w:rFonts w:hint="eastAsia" w:ascii="Times New Roman" w:hAnsi="Times New Roman"/>
                <w:kern w:val="0"/>
                <w:sz w:val="20"/>
                <w:szCs w:val="20"/>
              </w:rPr>
              <w:t>：</w:t>
            </w:r>
            <w:r>
              <w:rPr>
                <w:rFonts w:ascii="Times New Roman" w:hAnsi="Times New Roman"/>
                <w:kern w:val="0"/>
                <w:sz w:val="20"/>
                <w:szCs w:val="20"/>
              </w:rPr>
              <w:t>n1/n28*/n41/n77/n78/n79</w:t>
            </w:r>
          </w:p>
          <w:p>
            <w:pPr>
              <w:widowControl/>
              <w:rPr>
                <w:rFonts w:ascii="Times New Roman" w:hAnsi="Times New Roman"/>
                <w:kern w:val="0"/>
                <w:sz w:val="20"/>
                <w:szCs w:val="20"/>
              </w:rPr>
            </w:pPr>
            <w:r>
              <w:rPr>
                <w:rFonts w:ascii="Times New Roman" w:hAnsi="Times New Roman"/>
                <w:kern w:val="0"/>
                <w:sz w:val="20"/>
                <w:szCs w:val="20"/>
              </w:rPr>
              <w:t>LTE-FDD</w:t>
            </w:r>
            <w:r>
              <w:rPr>
                <w:rFonts w:hint="eastAsia" w:ascii="Times New Roman" w:hAnsi="Times New Roman"/>
                <w:kern w:val="0"/>
                <w:sz w:val="20"/>
                <w:szCs w:val="20"/>
              </w:rPr>
              <w:t>：</w:t>
            </w:r>
            <w:r>
              <w:rPr>
                <w:rFonts w:ascii="Times New Roman" w:hAnsi="Times New Roman"/>
                <w:kern w:val="0"/>
                <w:sz w:val="20"/>
                <w:szCs w:val="20"/>
              </w:rPr>
              <w:t>B1/B3/B5/B8</w:t>
            </w:r>
          </w:p>
          <w:p>
            <w:pPr>
              <w:widowControl/>
              <w:rPr>
                <w:rFonts w:ascii="Times New Roman" w:hAnsi="Times New Roman"/>
                <w:kern w:val="0"/>
                <w:sz w:val="20"/>
                <w:szCs w:val="20"/>
              </w:rPr>
            </w:pPr>
            <w:r>
              <w:rPr>
                <w:rFonts w:ascii="Times New Roman" w:hAnsi="Times New Roman"/>
                <w:kern w:val="0"/>
                <w:sz w:val="20"/>
                <w:szCs w:val="20"/>
              </w:rPr>
              <w:t>LTE-TDD</w:t>
            </w:r>
            <w:r>
              <w:rPr>
                <w:rFonts w:hint="eastAsia" w:ascii="Times New Roman" w:hAnsi="Times New Roman"/>
                <w:kern w:val="0"/>
                <w:sz w:val="20"/>
                <w:szCs w:val="20"/>
              </w:rPr>
              <w:t>：</w:t>
            </w:r>
            <w:r>
              <w:rPr>
                <w:rFonts w:ascii="Times New Roman" w:hAnsi="Times New Roman"/>
                <w:kern w:val="0"/>
                <w:sz w:val="20"/>
                <w:szCs w:val="20"/>
              </w:rPr>
              <w:t>B34/B38/B39/B40/B41</w:t>
            </w:r>
          </w:p>
        </w:tc>
      </w:tr>
      <w:tr>
        <w:tblPrEx>
          <w:shd w:val="clear" w:color="auto" w:fill="FFFFFF" w:themeFill="background1"/>
          <w:tblCellMar>
            <w:top w:w="0" w:type="dxa"/>
            <w:left w:w="108" w:type="dxa"/>
            <w:bottom w:w="0" w:type="dxa"/>
            <w:right w:w="108" w:type="dxa"/>
          </w:tblCellMar>
        </w:tblPrEx>
        <w:trPr>
          <w:trHeight w:val="20" w:hRule="atLeast"/>
        </w:trPr>
        <w:tc>
          <w:tcPr>
            <w:tcW w:w="25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hint="eastAsia" w:ascii="Times New Roman" w:hAnsi="Times New Roman"/>
                <w:kern w:val="0"/>
                <w:sz w:val="20"/>
                <w:szCs w:val="20"/>
              </w:rPr>
              <w:t>最大传输速率</w:t>
            </w:r>
          </w:p>
        </w:tc>
        <w:tc>
          <w:tcPr>
            <w:tcW w:w="67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Times New Roman" w:hAnsi="Times New Roman"/>
                <w:kern w:val="0"/>
                <w:sz w:val="20"/>
                <w:szCs w:val="20"/>
              </w:rPr>
            </w:pPr>
            <w:r>
              <w:rPr>
                <w:rFonts w:ascii="Times New Roman" w:hAnsi="Times New Roman"/>
                <w:kern w:val="0"/>
                <w:sz w:val="20"/>
                <w:szCs w:val="20"/>
              </w:rPr>
              <w:t>5G SA/NSA</w:t>
            </w:r>
            <w:r>
              <w:rPr>
                <w:rFonts w:hint="eastAsia" w:ascii="Times New Roman" w:hAnsi="Times New Roman"/>
                <w:kern w:val="0"/>
                <w:sz w:val="20"/>
                <w:szCs w:val="20"/>
              </w:rPr>
              <w:t>：上行速率</w:t>
            </w:r>
            <w:r>
              <w:rPr>
                <w:rFonts w:ascii="Times New Roman" w:hAnsi="Times New Roman"/>
                <w:kern w:val="0"/>
                <w:sz w:val="20"/>
                <w:szCs w:val="20"/>
              </w:rPr>
              <w:t xml:space="preserve"> 100 Mbps</w:t>
            </w:r>
          </w:p>
          <w:p>
            <w:pPr>
              <w:widowControl/>
              <w:rPr>
                <w:rFonts w:ascii="Times New Roman" w:hAnsi="Times New Roman"/>
                <w:kern w:val="0"/>
                <w:sz w:val="20"/>
                <w:szCs w:val="20"/>
              </w:rPr>
            </w:pPr>
            <w:r>
              <w:rPr>
                <w:rFonts w:ascii="Times New Roman" w:hAnsi="Times New Roman"/>
                <w:kern w:val="0"/>
                <w:sz w:val="20"/>
                <w:szCs w:val="20"/>
              </w:rPr>
              <w:t>LTE</w:t>
            </w:r>
            <w:r>
              <w:rPr>
                <w:rFonts w:hint="eastAsia" w:ascii="Times New Roman" w:hAnsi="Times New Roman"/>
                <w:kern w:val="0"/>
                <w:sz w:val="20"/>
                <w:szCs w:val="20"/>
              </w:rPr>
              <w:t>：上行速率</w:t>
            </w:r>
            <w:r>
              <w:rPr>
                <w:rFonts w:ascii="Times New Roman" w:hAnsi="Times New Roman"/>
                <w:kern w:val="0"/>
                <w:sz w:val="20"/>
                <w:szCs w:val="20"/>
              </w:rPr>
              <w:t xml:space="preserve"> 40 Mbps</w:t>
            </w:r>
          </w:p>
        </w:tc>
      </w:tr>
    </w:tbl>
    <w:p>
      <w:pPr>
        <w:widowControl/>
        <w:jc w:val="left"/>
        <w:rPr>
          <w:rFonts w:ascii="Times New Roman" w:hAnsi="Times New Roman"/>
          <w:b/>
          <w:bCs/>
          <w:sz w:val="28"/>
          <w:szCs w:val="32"/>
        </w:rPr>
      </w:pPr>
    </w:p>
    <w:p>
      <w:pPr>
        <w:widowControl/>
        <w:jc w:val="left"/>
      </w:pPr>
    </w:p>
    <w:p>
      <w:pPr>
        <w:widowControl/>
        <w:jc w:val="left"/>
      </w:pPr>
      <w:r>
        <w:br w:type="page"/>
      </w:r>
    </w:p>
    <w:p/>
    <w:p>
      <w:pPr>
        <w:pStyle w:val="2"/>
        <w:rPr>
          <w:rFonts w:ascii="宋体" w:hAnsi="宋体" w:cs="宋体"/>
        </w:rPr>
      </w:pPr>
      <w:r>
        <w:rPr>
          <w:rFonts w:hint="eastAsia" w:ascii="宋体" w:hAnsi="宋体" w:cs="宋体"/>
          <w:sz w:val="28"/>
          <w:szCs w:val="28"/>
        </w:rPr>
        <w:t>第六章 评审方法和评审标准</w:t>
      </w:r>
      <w:bookmarkEnd w:id="147"/>
    </w:p>
    <w:p>
      <w:pPr>
        <w:spacing w:line="440" w:lineRule="exact"/>
        <w:ind w:firstLine="422" w:firstLineChars="200"/>
        <w:rPr>
          <w:rFonts w:ascii="宋体" w:hAnsi="宋体" w:cs="宋体"/>
          <w:b/>
          <w:bCs/>
          <w:szCs w:val="21"/>
        </w:rPr>
      </w:pPr>
      <w:r>
        <w:rPr>
          <w:rFonts w:hint="eastAsia" w:ascii="宋体" w:hAnsi="宋体" w:cs="宋体"/>
          <w:b/>
          <w:bCs/>
          <w:szCs w:val="21"/>
        </w:rPr>
        <w:t>一、评审方法</w:t>
      </w:r>
    </w:p>
    <w:p>
      <w:pPr>
        <w:spacing w:line="440" w:lineRule="exact"/>
        <w:ind w:firstLine="420" w:firstLineChars="200"/>
        <w:rPr>
          <w:rFonts w:ascii="宋体" w:hAnsi="宋体" w:cs="宋体"/>
          <w:szCs w:val="21"/>
        </w:rPr>
      </w:pPr>
      <w:r>
        <w:rPr>
          <w:rFonts w:hint="eastAsia" w:ascii="宋体" w:hAnsi="宋体" w:cs="宋体"/>
          <w:szCs w:val="21"/>
        </w:rPr>
        <w:t>1、评审方法采用综合评分法，总分值为100分。</w:t>
      </w:r>
    </w:p>
    <w:p>
      <w:pPr>
        <w:spacing w:line="440" w:lineRule="exact"/>
        <w:ind w:firstLine="420" w:firstLineChars="200"/>
        <w:rPr>
          <w:rFonts w:ascii="宋体" w:hAnsi="宋体" w:cs="宋体"/>
          <w:szCs w:val="21"/>
        </w:rPr>
      </w:pPr>
      <w:r>
        <w:rPr>
          <w:rFonts w:hint="eastAsia" w:ascii="宋体" w:hAnsi="宋体" w:cs="宋体"/>
          <w:szCs w:val="21"/>
        </w:rPr>
        <w:t>2、评审时，对每个合格供应商的响应文件进行评分，对评委的评分进行统计汇总，按算术平均方法计算出每个供应商的评审得分。（保留小数点后2位）</w:t>
      </w:r>
    </w:p>
    <w:p>
      <w:pPr>
        <w:spacing w:line="440" w:lineRule="exact"/>
        <w:ind w:firstLine="420" w:firstLineChars="200"/>
        <w:rPr>
          <w:rFonts w:ascii="宋体" w:hAnsi="宋体" w:cs="宋体"/>
          <w:szCs w:val="21"/>
        </w:rPr>
      </w:pPr>
      <w:r>
        <w:rPr>
          <w:rFonts w:hint="eastAsia" w:ascii="宋体" w:hAnsi="宋体" w:cs="宋体"/>
          <w:szCs w:val="21"/>
        </w:rPr>
        <w:t>3、评审结果按评审后得分由高到低顺序排列。得分相同的，按最终报价由低到高顺序排列。得分且最终报价相同的抽签确定排序。响应文件满足</w:t>
      </w:r>
      <w:r>
        <w:rPr>
          <w:rFonts w:hint="eastAsia"/>
          <w:szCs w:val="21"/>
        </w:rPr>
        <w:t>磋商</w:t>
      </w:r>
      <w:r>
        <w:rPr>
          <w:rFonts w:hint="eastAsia" w:ascii="宋体" w:hAnsi="宋体" w:cs="宋体"/>
          <w:szCs w:val="21"/>
        </w:rPr>
        <w:t>文件全部实质性要求，且综合评分得分最高的供应商为成交供应商。</w:t>
      </w:r>
    </w:p>
    <w:p>
      <w:pPr>
        <w:spacing w:line="360" w:lineRule="auto"/>
        <w:ind w:firstLine="422" w:firstLineChars="200"/>
        <w:rPr>
          <w:rFonts w:ascii="宋体" w:hAnsi="宋体" w:cs="宋体"/>
          <w:b/>
          <w:bCs/>
          <w:szCs w:val="21"/>
        </w:rPr>
      </w:pPr>
      <w:r>
        <w:rPr>
          <w:rFonts w:hint="eastAsia" w:ascii="宋体" w:hAnsi="宋体" w:cs="宋体"/>
          <w:b/>
          <w:bCs/>
          <w:szCs w:val="21"/>
        </w:rPr>
        <w:t>二、评分标准（总分100分）</w:t>
      </w:r>
    </w:p>
    <w:tbl>
      <w:tblPr>
        <w:tblStyle w:val="28"/>
        <w:tblW w:w="73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941"/>
        <w:gridCol w:w="791"/>
        <w:gridCol w:w="48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eastAsiaTheme="minorEastAsia"/>
                <w:szCs w:val="21"/>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商务</w:t>
            </w:r>
            <w:r>
              <w:rPr>
                <w:rFonts w:hint="eastAsia" w:ascii="宋体" w:hAnsi="宋体" w:cs="宋体" w:eastAsiaTheme="minorEastAsia"/>
                <w:szCs w:val="21"/>
                <w:u w:val="single"/>
              </w:rPr>
              <w:t xml:space="preserve"> </w:t>
            </w:r>
            <w:r>
              <w:rPr>
                <w:rFonts w:ascii="宋体" w:hAnsi="宋体" w:cs="宋体" w:eastAsiaTheme="minorEastAsia"/>
                <w:szCs w:val="21"/>
                <w:u w:val="single"/>
              </w:rPr>
              <w:t xml:space="preserve"> </w:t>
            </w:r>
            <w:r>
              <w:rPr>
                <w:rFonts w:hint="eastAsia" w:ascii="宋体" w:hAnsi="宋体" w:cs="宋体"/>
                <w:szCs w:val="21"/>
              </w:rPr>
              <w:t>部分：</w:t>
            </w:r>
            <w:r>
              <w:rPr>
                <w:rFonts w:hint="eastAsia" w:ascii="宋体" w:hAnsi="宋体" w:cs="宋体"/>
                <w:szCs w:val="21"/>
                <w:u w:val="single"/>
              </w:rPr>
              <w:t xml:space="preserve"> </w:t>
            </w:r>
            <w:r>
              <w:rPr>
                <w:rFonts w:ascii="宋体" w:hAnsi="宋体" w:cs="宋体"/>
                <w:szCs w:val="21"/>
                <w:u w:val="single"/>
              </w:rPr>
              <w:t>35</w:t>
            </w:r>
            <w:r>
              <w:rPr>
                <w:rFonts w:hint="eastAsia" w:ascii="宋体" w:hAnsi="宋体" w:cs="宋体"/>
                <w:szCs w:val="21"/>
                <w:u w:val="single"/>
              </w:rPr>
              <w:t xml:space="preserve"> </w:t>
            </w:r>
            <w:r>
              <w:rPr>
                <w:rFonts w:hint="eastAsia" w:ascii="宋体" w:hAnsi="宋体" w:cs="宋体"/>
                <w:szCs w:val="21"/>
              </w:rPr>
              <w:t>分、</w:t>
            </w:r>
            <w:r>
              <w:rPr>
                <w:rFonts w:hint="eastAsia" w:ascii="宋体" w:hAnsi="宋体" w:cs="宋体"/>
                <w:szCs w:val="21"/>
                <w:u w:val="single"/>
              </w:rPr>
              <w:t xml:space="preserve"> 技术服务 </w:t>
            </w:r>
            <w:r>
              <w:rPr>
                <w:rFonts w:hint="eastAsia" w:ascii="宋体" w:hAnsi="宋体" w:cs="宋体"/>
                <w:szCs w:val="21"/>
              </w:rPr>
              <w:t>部分：</w:t>
            </w:r>
            <w:r>
              <w:rPr>
                <w:rFonts w:hint="eastAsia" w:ascii="宋体" w:hAnsi="宋体" w:cs="宋体"/>
                <w:szCs w:val="21"/>
                <w:u w:val="single"/>
              </w:rPr>
              <w:t xml:space="preserve"> </w:t>
            </w:r>
            <w:r>
              <w:rPr>
                <w:rFonts w:ascii="宋体" w:hAnsi="宋体" w:cs="宋体"/>
                <w:szCs w:val="21"/>
                <w:u w:val="single"/>
              </w:rPr>
              <w:t>35</w:t>
            </w:r>
            <w:r>
              <w:rPr>
                <w:rFonts w:hint="eastAsia" w:ascii="宋体" w:hAnsi="宋体" w:cs="宋体"/>
                <w:szCs w:val="21"/>
                <w:u w:val="single"/>
              </w:rPr>
              <w:t xml:space="preserve"> </w:t>
            </w:r>
            <w:r>
              <w:rPr>
                <w:rFonts w:hint="eastAsia" w:ascii="宋体" w:hAnsi="宋体" w:cs="宋体"/>
                <w:szCs w:val="21"/>
              </w:rPr>
              <w:t>分</w:t>
            </w:r>
            <w:r>
              <w:rPr>
                <w:rFonts w:hint="eastAsia" w:ascii="宋体" w:hAnsi="宋体" w:cs="宋体" w:eastAsiaTheme="minorEastAsia"/>
                <w:szCs w:val="21"/>
              </w:rPr>
              <w:t>、</w:t>
            </w:r>
          </w:p>
          <w:p>
            <w:pPr>
              <w:rPr>
                <w:rFonts w:ascii="宋体" w:hAnsi="宋体" w:cs="宋体" w:eastAsiaTheme="minorEastAsia"/>
                <w:szCs w:val="21"/>
              </w:rPr>
            </w:pPr>
            <w:r>
              <w:rPr>
                <w:rFonts w:hint="eastAsia" w:ascii="宋体" w:hAnsi="宋体" w:cs="宋体"/>
                <w:szCs w:val="21"/>
                <w:u w:val="single"/>
              </w:rPr>
              <w:t xml:space="preserve"> 投标报价 </w:t>
            </w:r>
            <w:r>
              <w:rPr>
                <w:rFonts w:hint="eastAsia" w:ascii="宋体" w:hAnsi="宋体" w:cs="宋体"/>
                <w:szCs w:val="21"/>
              </w:rPr>
              <w:t>部分：</w:t>
            </w:r>
            <w:r>
              <w:rPr>
                <w:rFonts w:hint="eastAsia" w:ascii="宋体" w:hAnsi="宋体" w:cs="宋体"/>
                <w:szCs w:val="21"/>
                <w:u w:val="single"/>
              </w:rPr>
              <w:t xml:space="preserve"> </w:t>
            </w:r>
            <w:r>
              <w:rPr>
                <w:rFonts w:ascii="宋体" w:hAnsi="宋体" w:cs="宋体"/>
                <w:szCs w:val="21"/>
                <w:u w:val="single"/>
              </w:rPr>
              <w:t>3</w:t>
            </w:r>
            <w:r>
              <w:rPr>
                <w:rFonts w:hint="eastAsia" w:ascii="宋体" w:hAnsi="宋体" w:cs="宋体"/>
                <w:szCs w:val="21"/>
                <w:u w:val="single"/>
              </w:rPr>
              <w:t xml:space="preserve">0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746" w:type="dxa"/>
            <w:vAlign w:val="center"/>
          </w:tcPr>
          <w:p>
            <w:pPr>
              <w:jc w:val="center"/>
              <w:textAlignment w:val="center"/>
              <w:rPr>
                <w:rFonts w:ascii="宋体" w:hAnsi="宋体" w:cs="宋体"/>
                <w:szCs w:val="21"/>
              </w:rPr>
            </w:pPr>
            <w:r>
              <w:rPr>
                <w:rFonts w:hint="eastAsia" w:ascii="宋体" w:hAnsi="宋体" w:cs="宋体"/>
                <w:szCs w:val="21"/>
              </w:rPr>
              <w:t>分类</w:t>
            </w:r>
          </w:p>
        </w:tc>
        <w:tc>
          <w:tcPr>
            <w:tcW w:w="941" w:type="dxa"/>
            <w:vAlign w:val="center"/>
          </w:tcPr>
          <w:p>
            <w:pPr>
              <w:jc w:val="center"/>
              <w:textAlignment w:val="center"/>
              <w:rPr>
                <w:rFonts w:ascii="宋体" w:hAnsi="宋体" w:cs="宋体" w:eastAsiaTheme="minorEastAsia"/>
                <w:kern w:val="0"/>
                <w:szCs w:val="21"/>
                <w:lang w:bidi="ar"/>
              </w:rPr>
            </w:pPr>
            <w:r>
              <w:rPr>
                <w:rFonts w:hint="eastAsia" w:ascii="宋体" w:hAnsi="宋体" w:cs="宋体"/>
                <w:kern w:val="0"/>
                <w:szCs w:val="21"/>
                <w:lang w:bidi="ar"/>
              </w:rPr>
              <w:t>评审</w:t>
            </w:r>
          </w:p>
          <w:p>
            <w:pPr>
              <w:jc w:val="center"/>
              <w:textAlignment w:val="center"/>
              <w:rPr>
                <w:rFonts w:ascii="宋体" w:hAnsi="宋体" w:cs="宋体"/>
                <w:szCs w:val="21"/>
              </w:rPr>
            </w:pPr>
            <w:r>
              <w:rPr>
                <w:rFonts w:hint="eastAsia" w:ascii="宋体" w:hAnsi="宋体" w:cs="宋体"/>
                <w:kern w:val="0"/>
                <w:szCs w:val="21"/>
                <w:lang w:bidi="ar"/>
              </w:rPr>
              <w:t>因素</w:t>
            </w:r>
          </w:p>
        </w:tc>
        <w:tc>
          <w:tcPr>
            <w:tcW w:w="791" w:type="dxa"/>
            <w:vAlign w:val="center"/>
          </w:tcPr>
          <w:p>
            <w:pPr>
              <w:jc w:val="center"/>
              <w:textAlignment w:val="center"/>
              <w:rPr>
                <w:rFonts w:ascii="宋体" w:hAnsi="宋体" w:cs="宋体"/>
                <w:szCs w:val="21"/>
              </w:rPr>
            </w:pPr>
            <w:r>
              <w:rPr>
                <w:rFonts w:hint="eastAsia" w:ascii="宋体" w:hAnsi="宋体" w:cs="宋体"/>
                <w:kern w:val="0"/>
                <w:szCs w:val="21"/>
                <w:lang w:bidi="ar"/>
              </w:rPr>
              <w:t>分值</w:t>
            </w:r>
          </w:p>
        </w:tc>
        <w:tc>
          <w:tcPr>
            <w:tcW w:w="4893" w:type="dxa"/>
            <w:vAlign w:val="center"/>
          </w:tcPr>
          <w:p>
            <w:pPr>
              <w:jc w:val="center"/>
              <w:textAlignment w:val="center"/>
              <w:rPr>
                <w:rFonts w:ascii="宋体" w:hAnsi="宋体" w:cs="宋体"/>
                <w:szCs w:val="21"/>
              </w:rPr>
            </w:pPr>
            <w:r>
              <w:rPr>
                <w:rFonts w:hint="eastAsia" w:ascii="宋体" w:hAnsi="宋体" w:cs="宋体"/>
                <w:kern w:val="0"/>
                <w:szCs w:val="21"/>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46" w:type="dxa"/>
            <w:vMerge w:val="restart"/>
            <w:vAlign w:val="center"/>
          </w:tcPr>
          <w:p>
            <w:pPr>
              <w:jc w:val="center"/>
              <w:rPr>
                <w:rFonts w:ascii="宋体" w:hAnsi="宋体" w:cs="宋体"/>
                <w:szCs w:val="21"/>
              </w:rPr>
            </w:pPr>
            <w:r>
              <w:rPr>
                <w:rFonts w:hint="eastAsia" w:ascii="宋体" w:hAnsi="宋体" w:cs="宋体"/>
                <w:szCs w:val="21"/>
              </w:rPr>
              <w:t>商务部分</w:t>
            </w:r>
          </w:p>
          <w:p>
            <w:pPr>
              <w:snapToGrid w:val="0"/>
              <w:rPr>
                <w:rFonts w:ascii="宋体" w:hAnsi="宋体" w:cs="宋体"/>
                <w:szCs w:val="21"/>
              </w:rPr>
            </w:pPr>
            <w:r>
              <w:rPr>
                <w:rFonts w:hint="eastAsia" w:ascii="宋体" w:hAnsi="宋体" w:cs="宋体"/>
                <w:szCs w:val="21"/>
              </w:rPr>
              <w:t>（</w:t>
            </w:r>
            <w:r>
              <w:rPr>
                <w:rFonts w:ascii="宋体" w:hAnsi="宋体" w:cs="宋体" w:eastAsiaTheme="minorEastAsia"/>
                <w:szCs w:val="21"/>
              </w:rPr>
              <w:t>35</w:t>
            </w:r>
            <w:r>
              <w:rPr>
                <w:rFonts w:hint="eastAsia" w:ascii="宋体" w:hAnsi="宋体" w:cs="宋体"/>
                <w:szCs w:val="21"/>
              </w:rPr>
              <w:t>分）</w:t>
            </w:r>
          </w:p>
        </w:tc>
        <w:tc>
          <w:tcPr>
            <w:tcW w:w="941" w:type="dxa"/>
            <w:vAlign w:val="center"/>
          </w:tcPr>
          <w:p>
            <w:pPr>
              <w:jc w:val="center"/>
              <w:textAlignment w:val="center"/>
              <w:rPr>
                <w:rFonts w:ascii="宋体" w:hAnsi="宋体" w:cs="宋体"/>
                <w:kern w:val="0"/>
                <w:szCs w:val="21"/>
              </w:rPr>
            </w:pPr>
            <w:r>
              <w:rPr>
                <w:rFonts w:hint="eastAsia" w:ascii="宋体" w:hAnsi="宋体" w:cs="宋体"/>
                <w:kern w:val="0"/>
                <w:szCs w:val="21"/>
              </w:rPr>
              <w:t>企业</w:t>
            </w:r>
          </w:p>
          <w:p>
            <w:pPr>
              <w:jc w:val="center"/>
              <w:textAlignment w:val="center"/>
              <w:rPr>
                <w:rFonts w:ascii="宋体" w:hAnsi="宋体" w:cs="宋体"/>
                <w:kern w:val="0"/>
                <w:szCs w:val="21"/>
              </w:rPr>
            </w:pPr>
            <w:r>
              <w:rPr>
                <w:rFonts w:hint="eastAsia" w:ascii="宋体" w:hAnsi="宋体" w:cs="宋体"/>
                <w:kern w:val="0"/>
                <w:szCs w:val="21"/>
              </w:rPr>
              <w:t>资质</w:t>
            </w:r>
          </w:p>
        </w:tc>
        <w:tc>
          <w:tcPr>
            <w:tcW w:w="791" w:type="dxa"/>
            <w:vAlign w:val="center"/>
          </w:tcPr>
          <w:p>
            <w:pPr>
              <w:jc w:val="center"/>
              <w:textAlignment w:val="center"/>
              <w:rPr>
                <w:rFonts w:ascii="宋体" w:hAnsi="宋体" w:cs="宋体" w:eastAsiaTheme="minorEastAsia"/>
                <w:bCs/>
                <w:szCs w:val="21"/>
              </w:rPr>
            </w:pPr>
            <w:r>
              <w:rPr>
                <w:rFonts w:ascii="宋体" w:hAnsi="宋体" w:cs="宋体" w:eastAsiaTheme="minorEastAsia"/>
                <w:bCs/>
                <w:szCs w:val="21"/>
              </w:rPr>
              <w:t>4</w:t>
            </w:r>
          </w:p>
        </w:tc>
        <w:tc>
          <w:tcPr>
            <w:tcW w:w="4893" w:type="dxa"/>
            <w:vAlign w:val="center"/>
          </w:tcPr>
          <w:p>
            <w:pPr>
              <w:textAlignment w:val="center"/>
              <w:rPr>
                <w:rFonts w:ascii="宋体" w:hAnsi="宋体" w:cs="宋体"/>
                <w:bCs/>
                <w:szCs w:val="21"/>
              </w:rPr>
            </w:pPr>
            <w:r>
              <w:rPr>
                <w:rFonts w:ascii="宋体" w:hAnsi="宋体" w:cs="宋体"/>
                <w:bCs/>
                <w:szCs w:val="21"/>
              </w:rPr>
              <w:t>1</w:t>
            </w:r>
            <w:r>
              <w:rPr>
                <w:rFonts w:hint="eastAsia" w:ascii="宋体" w:hAnsi="宋体" w:cs="宋体"/>
                <w:bCs/>
                <w:szCs w:val="21"/>
              </w:rPr>
              <w:t>、投标人具备有效期内的民用无人机驾驶员训练机构合格证的计</w:t>
            </w:r>
            <w:r>
              <w:rPr>
                <w:rFonts w:ascii="宋体" w:hAnsi="宋体" w:cs="宋体"/>
                <w:bCs/>
                <w:szCs w:val="21"/>
              </w:rPr>
              <w:t>2</w:t>
            </w:r>
            <w:r>
              <w:rPr>
                <w:rFonts w:hint="eastAsia" w:ascii="宋体" w:hAnsi="宋体" w:cs="宋体"/>
                <w:bCs/>
                <w:szCs w:val="21"/>
              </w:rPr>
              <w:t>分；</w:t>
            </w:r>
          </w:p>
          <w:p>
            <w:pPr>
              <w:textAlignment w:val="center"/>
              <w:rPr>
                <w:rFonts w:ascii="宋体" w:hAnsi="宋体" w:cs="宋体"/>
                <w:bCs/>
                <w:szCs w:val="21"/>
              </w:rPr>
            </w:pPr>
            <w:r>
              <w:rPr>
                <w:rFonts w:ascii="宋体" w:hAnsi="宋体" w:cs="宋体"/>
                <w:bCs/>
                <w:szCs w:val="21"/>
              </w:rPr>
              <w:t>2</w:t>
            </w:r>
            <w:r>
              <w:rPr>
                <w:rFonts w:hint="eastAsia" w:ascii="宋体" w:hAnsi="宋体" w:cs="宋体"/>
                <w:bCs/>
                <w:szCs w:val="21"/>
              </w:rPr>
              <w:t>、投标人具备有效期内的民用无人驾驶航空器经营许可证的计</w:t>
            </w:r>
            <w:r>
              <w:rPr>
                <w:rFonts w:ascii="宋体" w:hAnsi="宋体" w:cs="宋体"/>
                <w:bCs/>
                <w:szCs w:val="21"/>
              </w:rPr>
              <w:t>2</w:t>
            </w:r>
            <w:r>
              <w:rPr>
                <w:rFonts w:hint="eastAsia" w:ascii="宋体" w:hAnsi="宋体" w:cs="宋体"/>
                <w:bCs/>
                <w:szCs w:val="21"/>
              </w:rPr>
              <w:t>分；</w:t>
            </w:r>
          </w:p>
          <w:p>
            <w:pPr>
              <w:textAlignment w:val="center"/>
              <w:rPr>
                <w:rFonts w:ascii="宋体" w:hAnsi="宋体" w:cs="宋体"/>
                <w:bCs/>
                <w:szCs w:val="21"/>
              </w:rPr>
            </w:pPr>
            <w:r>
              <w:rPr>
                <w:rFonts w:hint="eastAsia" w:ascii="宋体" w:hAnsi="宋体" w:cs="宋体"/>
                <w:bCs/>
                <w:szCs w:val="21"/>
              </w:rPr>
              <w:t>本项满分</w:t>
            </w:r>
            <w:r>
              <w:rPr>
                <w:rFonts w:ascii="宋体" w:hAnsi="宋体" w:cs="宋体"/>
                <w:bCs/>
                <w:szCs w:val="21"/>
              </w:rPr>
              <w:t>4</w:t>
            </w:r>
            <w:r>
              <w:rPr>
                <w:rFonts w:hint="eastAsia" w:ascii="宋体" w:hAnsi="宋体" w:cs="宋体"/>
                <w:bCs/>
                <w:szCs w:val="21"/>
              </w:rPr>
              <w:t>分，不提供不得分。</w:t>
            </w:r>
          </w:p>
          <w:p>
            <w:pPr>
              <w:textAlignment w:val="center"/>
              <w:rPr>
                <w:rFonts w:ascii="宋体" w:hAnsi="宋体" w:cs="宋体"/>
                <w:bCs/>
                <w:szCs w:val="21"/>
              </w:rPr>
            </w:pPr>
            <w:r>
              <w:rPr>
                <w:rFonts w:hint="eastAsia" w:ascii="宋体" w:hAnsi="宋体" w:cs="宋体"/>
                <w:bCs/>
                <w:szCs w:val="21"/>
              </w:rPr>
              <w:t>注：须提供证书复印件并加盖公章，原件备查。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46" w:type="dxa"/>
            <w:vMerge w:val="continue"/>
            <w:vAlign w:val="center"/>
          </w:tcPr>
          <w:p>
            <w:pPr>
              <w:snapToGrid w:val="0"/>
              <w:rPr>
                <w:rFonts w:ascii="宋体" w:hAnsi="宋体" w:cs="宋体"/>
                <w:szCs w:val="21"/>
              </w:rPr>
            </w:pPr>
          </w:p>
        </w:tc>
        <w:tc>
          <w:tcPr>
            <w:tcW w:w="941" w:type="dxa"/>
            <w:vAlign w:val="center"/>
          </w:tcPr>
          <w:p>
            <w:pPr>
              <w:jc w:val="center"/>
              <w:textAlignment w:val="center"/>
              <w:rPr>
                <w:rFonts w:ascii="宋体" w:hAnsi="宋体" w:cs="宋体"/>
                <w:kern w:val="0"/>
                <w:szCs w:val="21"/>
              </w:rPr>
            </w:pPr>
            <w:r>
              <w:rPr>
                <w:rFonts w:hint="eastAsia" w:ascii="宋体" w:hAnsi="宋体" w:cs="宋体"/>
                <w:kern w:val="0"/>
                <w:szCs w:val="21"/>
              </w:rPr>
              <w:t>企业</w:t>
            </w:r>
          </w:p>
          <w:p>
            <w:pPr>
              <w:jc w:val="center"/>
              <w:textAlignment w:val="center"/>
              <w:rPr>
                <w:rFonts w:ascii="宋体" w:hAnsi="宋体" w:cs="宋体"/>
                <w:kern w:val="0"/>
                <w:szCs w:val="21"/>
              </w:rPr>
            </w:pPr>
            <w:r>
              <w:rPr>
                <w:rFonts w:hint="eastAsia" w:ascii="宋体" w:hAnsi="宋体" w:cs="宋体"/>
                <w:kern w:val="0"/>
                <w:szCs w:val="21"/>
              </w:rPr>
              <w:t>经营</w:t>
            </w:r>
          </w:p>
          <w:p>
            <w:pPr>
              <w:jc w:val="center"/>
              <w:textAlignment w:val="center"/>
              <w:rPr>
                <w:rFonts w:ascii="宋体" w:hAnsi="宋体" w:cs="宋体"/>
                <w:bCs/>
                <w:szCs w:val="21"/>
              </w:rPr>
            </w:pPr>
            <w:r>
              <w:rPr>
                <w:rFonts w:hint="eastAsia" w:ascii="宋体" w:hAnsi="宋体" w:cs="宋体"/>
                <w:kern w:val="0"/>
                <w:szCs w:val="21"/>
              </w:rPr>
              <w:t>状况</w:t>
            </w:r>
          </w:p>
        </w:tc>
        <w:tc>
          <w:tcPr>
            <w:tcW w:w="791" w:type="dxa"/>
            <w:vAlign w:val="center"/>
          </w:tcPr>
          <w:p>
            <w:pPr>
              <w:jc w:val="center"/>
              <w:textAlignment w:val="center"/>
              <w:rPr>
                <w:rFonts w:ascii="宋体" w:hAnsi="宋体" w:cs="宋体" w:eastAsiaTheme="minorEastAsia"/>
                <w:bCs/>
                <w:szCs w:val="21"/>
              </w:rPr>
            </w:pPr>
            <w:r>
              <w:rPr>
                <w:rFonts w:ascii="宋体" w:hAnsi="宋体" w:cs="宋体" w:eastAsiaTheme="minorEastAsia"/>
                <w:bCs/>
                <w:szCs w:val="21"/>
              </w:rPr>
              <w:t>2</w:t>
            </w:r>
          </w:p>
        </w:tc>
        <w:tc>
          <w:tcPr>
            <w:tcW w:w="4893" w:type="dxa"/>
            <w:vAlign w:val="center"/>
          </w:tcPr>
          <w:p>
            <w:pPr>
              <w:pStyle w:val="44"/>
              <w:numPr>
                <w:ilvl w:val="0"/>
                <w:numId w:val="0"/>
              </w:numPr>
              <w:ind w:leftChars="0"/>
              <w:textAlignment w:val="center"/>
              <w:rPr>
                <w:rFonts w:ascii="宋体" w:hAnsi="宋体" w:cs="宋体"/>
                <w:szCs w:val="21"/>
              </w:rPr>
            </w:pPr>
            <w:r>
              <w:rPr>
                <w:rFonts w:hint="eastAsia" w:ascii="宋体" w:hAnsi="宋体" w:cs="宋体"/>
                <w:bCs/>
                <w:szCs w:val="21"/>
                <w:lang w:val="en-US" w:eastAsia="zh-CN"/>
              </w:rPr>
              <w:t>1、</w:t>
            </w:r>
            <w:r>
              <w:rPr>
                <w:rFonts w:hint="eastAsia" w:ascii="宋体" w:hAnsi="宋体" w:cs="宋体"/>
                <w:bCs/>
                <w:szCs w:val="21"/>
              </w:rPr>
              <w:t>投标人提供上一年度</w:t>
            </w:r>
            <w:r>
              <w:rPr>
                <w:rFonts w:hint="eastAsia" w:ascii="宋体" w:hAnsi="宋体" w:cs="宋体"/>
                <w:szCs w:val="21"/>
              </w:rPr>
              <w:t>财务审计报告，报告显示投标人企业上年度盈利的得2分，显示亏损的得1分，未完整提供报告或未提供报告的不得分；</w:t>
            </w:r>
          </w:p>
          <w:p>
            <w:pPr>
              <w:textAlignment w:val="center"/>
              <w:rPr>
                <w:rFonts w:ascii="宋体" w:hAnsi="宋体" w:cs="宋体"/>
                <w:bCs/>
                <w:szCs w:val="21"/>
              </w:rPr>
            </w:pPr>
            <w:r>
              <w:rPr>
                <w:rFonts w:hint="eastAsia" w:ascii="宋体" w:hAnsi="宋体" w:cs="宋体"/>
                <w:szCs w:val="21"/>
              </w:rPr>
              <w:t>备注：</w:t>
            </w:r>
            <w:r>
              <w:rPr>
                <w:rFonts w:hint="eastAsia" w:ascii="宋体" w:hAnsi="宋体" w:cs="宋体"/>
                <w:bCs/>
                <w:szCs w:val="21"/>
              </w:rPr>
              <w:t>须提供报告复印件并加盖公章，原件备查。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746" w:type="dxa"/>
            <w:vMerge w:val="continue"/>
            <w:vAlign w:val="center"/>
          </w:tcPr>
          <w:p>
            <w:pPr>
              <w:snapToGrid w:val="0"/>
              <w:rPr>
                <w:rFonts w:ascii="宋体" w:hAnsi="宋体" w:cs="宋体"/>
                <w:szCs w:val="21"/>
              </w:rPr>
            </w:pPr>
          </w:p>
        </w:tc>
        <w:tc>
          <w:tcPr>
            <w:tcW w:w="941" w:type="dxa"/>
            <w:vAlign w:val="center"/>
          </w:tcPr>
          <w:p>
            <w:pPr>
              <w:jc w:val="center"/>
              <w:textAlignment w:val="center"/>
              <w:rPr>
                <w:rFonts w:ascii="宋体" w:hAnsi="宋体" w:cs="宋体"/>
                <w:bCs/>
                <w:kern w:val="0"/>
                <w:szCs w:val="21"/>
                <w:lang w:bidi="ar"/>
              </w:rPr>
            </w:pPr>
            <w:r>
              <w:rPr>
                <w:rFonts w:hint="eastAsia" w:ascii="宋体" w:hAnsi="宋体" w:cs="宋体"/>
                <w:kern w:val="0"/>
                <w:szCs w:val="21"/>
              </w:rPr>
              <w:t>资信等级</w:t>
            </w:r>
          </w:p>
        </w:tc>
        <w:tc>
          <w:tcPr>
            <w:tcW w:w="791" w:type="dxa"/>
            <w:vAlign w:val="center"/>
          </w:tcPr>
          <w:p>
            <w:pPr>
              <w:jc w:val="center"/>
              <w:textAlignment w:val="center"/>
              <w:rPr>
                <w:rFonts w:ascii="宋体" w:hAnsi="宋体" w:cs="宋体"/>
                <w:bCs/>
                <w:kern w:val="0"/>
                <w:szCs w:val="21"/>
                <w:lang w:bidi="ar"/>
              </w:rPr>
            </w:pPr>
            <w:r>
              <w:rPr>
                <w:rFonts w:ascii="宋体" w:hAnsi="宋体" w:cs="宋体"/>
                <w:bCs/>
                <w:kern w:val="0"/>
                <w:szCs w:val="21"/>
                <w:lang w:bidi="ar"/>
              </w:rPr>
              <w:t>1</w:t>
            </w:r>
          </w:p>
        </w:tc>
        <w:tc>
          <w:tcPr>
            <w:tcW w:w="4893" w:type="dxa"/>
            <w:vAlign w:val="center"/>
          </w:tcPr>
          <w:p>
            <w:pPr>
              <w:textAlignment w:val="center"/>
              <w:rPr>
                <w:rFonts w:ascii="宋体" w:hAnsi="宋体" w:cs="宋体"/>
                <w:szCs w:val="21"/>
              </w:rPr>
            </w:pPr>
            <w:r>
              <w:rPr>
                <w:rFonts w:hint="eastAsia" w:ascii="宋体" w:hAnsi="宋体" w:cs="宋体"/>
                <w:szCs w:val="21"/>
              </w:rPr>
              <w:t>投标人具有专业评估机构出具的资信等级认证</w:t>
            </w:r>
            <w:r>
              <w:rPr>
                <w:rFonts w:ascii="宋体" w:hAnsi="宋体" w:cs="宋体"/>
                <w:szCs w:val="21"/>
              </w:rPr>
              <w:t>AAA</w:t>
            </w:r>
            <w:r>
              <w:rPr>
                <w:rFonts w:hint="eastAsia" w:ascii="宋体" w:hAnsi="宋体" w:cs="宋体"/>
                <w:szCs w:val="21"/>
              </w:rPr>
              <w:t>级的得</w:t>
            </w:r>
            <w:r>
              <w:rPr>
                <w:rFonts w:ascii="宋体" w:hAnsi="宋体" w:cs="宋体"/>
                <w:szCs w:val="21"/>
              </w:rPr>
              <w:t>1</w:t>
            </w:r>
            <w:r>
              <w:rPr>
                <w:rFonts w:hint="eastAsia" w:ascii="宋体" w:hAnsi="宋体" w:cs="宋体"/>
                <w:szCs w:val="21"/>
              </w:rPr>
              <w:t>分。</w:t>
            </w:r>
          </w:p>
          <w:p>
            <w:pPr>
              <w:textAlignment w:val="center"/>
              <w:rPr>
                <w:rFonts w:ascii="宋体" w:hAnsi="宋体" w:cs="宋体"/>
                <w:bCs/>
                <w:kern w:val="0"/>
                <w:szCs w:val="21"/>
                <w:lang w:bidi="ar"/>
              </w:rPr>
            </w:pPr>
            <w:r>
              <w:rPr>
                <w:rFonts w:hint="eastAsia" w:ascii="宋体" w:hAnsi="宋体" w:cs="宋体"/>
                <w:szCs w:val="21"/>
              </w:rPr>
              <w:t>注：须提供证书复印件并加盖公章，原件备查。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46" w:type="dxa"/>
            <w:vMerge w:val="continue"/>
            <w:vAlign w:val="center"/>
          </w:tcPr>
          <w:p>
            <w:pPr>
              <w:snapToGrid w:val="0"/>
              <w:rPr>
                <w:rFonts w:ascii="宋体" w:hAnsi="宋体" w:cs="宋体"/>
                <w:szCs w:val="21"/>
              </w:rPr>
            </w:pPr>
          </w:p>
        </w:tc>
        <w:tc>
          <w:tcPr>
            <w:tcW w:w="941" w:type="dxa"/>
            <w:vAlign w:val="center"/>
          </w:tcPr>
          <w:p>
            <w:pPr>
              <w:jc w:val="center"/>
              <w:textAlignment w:val="center"/>
              <w:rPr>
                <w:rFonts w:ascii="宋体" w:hAnsi="宋体" w:cs="宋体"/>
                <w:kern w:val="0"/>
                <w:szCs w:val="21"/>
              </w:rPr>
            </w:pPr>
            <w:r>
              <w:rPr>
                <w:rFonts w:hint="eastAsia" w:ascii="宋体" w:hAnsi="宋体" w:cs="宋体"/>
                <w:szCs w:val="21"/>
              </w:rPr>
              <w:t>类似项目业绩</w:t>
            </w:r>
          </w:p>
        </w:tc>
        <w:tc>
          <w:tcPr>
            <w:tcW w:w="791" w:type="dxa"/>
            <w:vAlign w:val="center"/>
          </w:tcPr>
          <w:p>
            <w:pPr>
              <w:jc w:val="center"/>
              <w:textAlignment w:val="center"/>
              <w:rPr>
                <w:rFonts w:ascii="宋体" w:hAnsi="宋体" w:cs="宋体" w:eastAsiaTheme="minorEastAsia"/>
                <w:bCs/>
                <w:kern w:val="0"/>
                <w:szCs w:val="21"/>
                <w:lang w:bidi="ar"/>
              </w:rPr>
            </w:pPr>
            <w:r>
              <w:rPr>
                <w:rFonts w:hint="eastAsia" w:ascii="宋体" w:hAnsi="宋体" w:cs="宋体" w:eastAsiaTheme="minorEastAsia"/>
                <w:bCs/>
                <w:kern w:val="0"/>
                <w:szCs w:val="21"/>
                <w:lang w:bidi="ar"/>
              </w:rPr>
              <w:t>18</w:t>
            </w:r>
          </w:p>
        </w:tc>
        <w:tc>
          <w:tcPr>
            <w:tcW w:w="4893" w:type="dxa"/>
            <w:vAlign w:val="center"/>
          </w:tcPr>
          <w:p>
            <w:pPr>
              <w:textAlignment w:val="center"/>
              <w:rPr>
                <w:rFonts w:ascii="宋体" w:hAnsi="宋体" w:cs="宋体"/>
                <w:bCs/>
                <w:kern w:val="0"/>
                <w:szCs w:val="21"/>
                <w:lang w:bidi="ar"/>
              </w:rPr>
            </w:pPr>
            <w:r>
              <w:rPr>
                <w:rFonts w:hint="eastAsia" w:ascii="宋体" w:hAnsi="宋体" w:cs="宋体"/>
                <w:bCs/>
                <w:kern w:val="0"/>
                <w:szCs w:val="21"/>
                <w:lang w:bidi="ar"/>
              </w:rPr>
              <w:t>根据投标人</w:t>
            </w:r>
            <w:r>
              <w:rPr>
                <w:rFonts w:ascii="宋体" w:hAnsi="宋体" w:cs="宋体"/>
                <w:bCs/>
                <w:kern w:val="0"/>
                <w:szCs w:val="21"/>
                <w:lang w:bidi="ar"/>
              </w:rPr>
              <w:t>2020</w:t>
            </w:r>
            <w:r>
              <w:rPr>
                <w:rFonts w:hint="eastAsia" w:ascii="宋体" w:hAnsi="宋体" w:cs="宋体"/>
                <w:bCs/>
                <w:kern w:val="0"/>
                <w:szCs w:val="21"/>
                <w:lang w:bidi="ar"/>
              </w:rPr>
              <w:t>年1月1日以来，完成的类似项目业绩进行计分；</w:t>
            </w:r>
          </w:p>
          <w:p>
            <w:pPr>
              <w:textAlignment w:val="center"/>
              <w:rPr>
                <w:rFonts w:ascii="宋体" w:hAnsi="宋体" w:cs="宋体"/>
                <w:bCs/>
                <w:kern w:val="0"/>
                <w:szCs w:val="21"/>
                <w:lang w:bidi="ar"/>
              </w:rPr>
            </w:pPr>
            <w:r>
              <w:rPr>
                <w:rFonts w:hint="eastAsia" w:ascii="宋体" w:hAnsi="宋体" w:cs="宋体"/>
                <w:bCs/>
                <w:kern w:val="0"/>
                <w:szCs w:val="21"/>
                <w:lang w:bidi="ar"/>
              </w:rPr>
              <w:t>1、每提供一项渔政机场设备采购项目业绩的计3分，最多计6分；</w:t>
            </w:r>
          </w:p>
          <w:p>
            <w:pPr>
              <w:textAlignment w:val="center"/>
              <w:rPr>
                <w:rFonts w:hint="eastAsia" w:ascii="宋体" w:hAnsi="宋体" w:eastAsia="宋体" w:cs="宋体"/>
                <w:bCs/>
                <w:kern w:val="0"/>
                <w:szCs w:val="21"/>
                <w:lang w:eastAsia="zh-CN" w:bidi="ar"/>
              </w:rPr>
            </w:pPr>
            <w:r>
              <w:rPr>
                <w:rFonts w:ascii="宋体" w:hAnsi="宋体" w:cs="宋体"/>
                <w:bCs/>
                <w:kern w:val="0"/>
                <w:szCs w:val="21"/>
                <w:lang w:bidi="ar"/>
              </w:rPr>
              <w:t>2</w:t>
            </w:r>
            <w:r>
              <w:rPr>
                <w:rFonts w:hint="eastAsia" w:ascii="宋体" w:hAnsi="宋体" w:cs="宋体"/>
                <w:bCs/>
                <w:kern w:val="0"/>
                <w:szCs w:val="21"/>
                <w:lang w:bidi="ar"/>
              </w:rPr>
              <w:t>、每提供一项渔政类单位无人机巡查服务项目业绩的计2分，最多计6分</w:t>
            </w:r>
            <w:r>
              <w:rPr>
                <w:rFonts w:hint="eastAsia" w:ascii="宋体" w:hAnsi="宋体" w:cs="宋体"/>
                <w:bCs/>
                <w:kern w:val="0"/>
                <w:szCs w:val="21"/>
                <w:lang w:eastAsia="zh-CN" w:bidi="ar"/>
              </w:rPr>
              <w:t>；</w:t>
            </w:r>
          </w:p>
          <w:p>
            <w:pPr>
              <w:textAlignment w:val="center"/>
              <w:rPr>
                <w:rFonts w:hint="eastAsia" w:ascii="宋体" w:hAnsi="宋体" w:eastAsia="宋体" w:cs="宋体"/>
                <w:bCs/>
                <w:kern w:val="0"/>
                <w:szCs w:val="21"/>
                <w:lang w:eastAsia="zh-CN" w:bidi="ar"/>
              </w:rPr>
            </w:pPr>
            <w:r>
              <w:rPr>
                <w:rFonts w:ascii="宋体" w:hAnsi="宋体" w:cs="宋体"/>
                <w:bCs/>
                <w:kern w:val="0"/>
                <w:szCs w:val="21"/>
                <w:lang w:bidi="ar"/>
              </w:rPr>
              <w:t>3</w:t>
            </w:r>
            <w:r>
              <w:rPr>
                <w:rFonts w:hint="eastAsia" w:ascii="宋体" w:hAnsi="宋体" w:cs="宋体"/>
                <w:bCs/>
                <w:kern w:val="0"/>
                <w:szCs w:val="21"/>
                <w:lang w:bidi="ar"/>
              </w:rPr>
              <w:t>、提供的业绩中包含有关于垂直起降无人机渔政相关作业服务协议的计3分</w:t>
            </w:r>
            <w:r>
              <w:rPr>
                <w:rFonts w:hint="eastAsia" w:ascii="宋体" w:hAnsi="宋体" w:cs="宋体"/>
                <w:bCs/>
                <w:kern w:val="0"/>
                <w:szCs w:val="21"/>
                <w:lang w:eastAsia="zh-CN" w:bidi="ar"/>
              </w:rPr>
              <w:t>，</w:t>
            </w:r>
            <w:r>
              <w:rPr>
                <w:rFonts w:hint="eastAsia" w:ascii="宋体" w:hAnsi="宋体" w:cs="宋体"/>
                <w:bCs/>
                <w:kern w:val="0"/>
                <w:szCs w:val="21"/>
                <w:lang w:bidi="ar"/>
              </w:rPr>
              <w:t>最多计6分</w:t>
            </w:r>
            <w:r>
              <w:rPr>
                <w:rFonts w:hint="eastAsia" w:ascii="宋体" w:hAnsi="宋体" w:cs="宋体"/>
                <w:bCs/>
                <w:kern w:val="0"/>
                <w:szCs w:val="21"/>
                <w:lang w:eastAsia="zh-CN" w:bidi="ar"/>
              </w:rPr>
              <w:t>。</w:t>
            </w:r>
          </w:p>
          <w:p>
            <w:pPr>
              <w:textAlignment w:val="center"/>
              <w:rPr>
                <w:rFonts w:ascii="宋体" w:hAnsi="宋体" w:cs="宋体"/>
                <w:szCs w:val="21"/>
              </w:rPr>
            </w:pPr>
            <w:r>
              <w:rPr>
                <w:rFonts w:hint="eastAsia" w:ascii="宋体" w:hAnsi="宋体" w:cs="宋体"/>
                <w:bCs/>
                <w:szCs w:val="21"/>
              </w:rPr>
              <w:t>投标人提供的单项业绩满足1</w:t>
            </w:r>
            <w:r>
              <w:rPr>
                <w:rFonts w:ascii="宋体" w:hAnsi="宋体" w:cs="宋体"/>
                <w:bCs/>
                <w:szCs w:val="21"/>
              </w:rPr>
              <w:t>-4</w:t>
            </w:r>
            <w:r>
              <w:rPr>
                <w:rFonts w:hint="eastAsia" w:ascii="宋体" w:hAnsi="宋体" w:cs="宋体"/>
                <w:bCs/>
                <w:szCs w:val="21"/>
              </w:rPr>
              <w:t>项中多个计分条件的可同时计取得分，须提供采购方联系人及联系电话，采购合同复印件加盖公章，原件备查。提供框架合同或者框架协议的必须提供订单等证明材料，单独提供订单未提供对应框架的不予认可，未体现订单或合同签订日期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46" w:type="dxa"/>
            <w:vMerge w:val="continue"/>
            <w:vAlign w:val="center"/>
          </w:tcPr>
          <w:p>
            <w:pPr>
              <w:snapToGrid w:val="0"/>
              <w:rPr>
                <w:rFonts w:ascii="宋体" w:hAnsi="宋体" w:cs="宋体"/>
                <w:szCs w:val="21"/>
              </w:rPr>
            </w:pPr>
          </w:p>
        </w:tc>
        <w:tc>
          <w:tcPr>
            <w:tcW w:w="941" w:type="dxa"/>
            <w:vAlign w:val="center"/>
          </w:tcPr>
          <w:p>
            <w:pPr>
              <w:jc w:val="center"/>
              <w:textAlignment w:val="center"/>
              <w:rPr>
                <w:rFonts w:ascii="宋体" w:hAnsi="宋体" w:cs="宋体"/>
                <w:kern w:val="0"/>
                <w:szCs w:val="21"/>
              </w:rPr>
            </w:pPr>
            <w:r>
              <w:rPr>
                <w:rFonts w:hint="eastAsia" w:ascii="宋体" w:hAnsi="宋体" w:cs="宋体"/>
                <w:bCs/>
                <w:kern w:val="0"/>
                <w:szCs w:val="21"/>
                <w:lang w:bidi="ar"/>
              </w:rPr>
              <w:t>技术指标响应</w:t>
            </w:r>
          </w:p>
        </w:tc>
        <w:tc>
          <w:tcPr>
            <w:tcW w:w="791" w:type="dxa"/>
            <w:vAlign w:val="center"/>
          </w:tcPr>
          <w:p>
            <w:pPr>
              <w:jc w:val="center"/>
              <w:textAlignment w:val="center"/>
              <w:rPr>
                <w:rFonts w:ascii="宋体" w:hAnsi="宋体" w:cs="宋体" w:eastAsiaTheme="minorEastAsia"/>
                <w:bCs/>
                <w:kern w:val="0"/>
                <w:szCs w:val="21"/>
                <w:lang w:bidi="ar"/>
              </w:rPr>
            </w:pPr>
            <w:r>
              <w:rPr>
                <w:rFonts w:hint="eastAsia" w:ascii="宋体" w:hAnsi="宋体" w:cs="宋体" w:eastAsiaTheme="minorEastAsia"/>
                <w:bCs/>
                <w:kern w:val="0"/>
                <w:szCs w:val="21"/>
                <w:lang w:bidi="ar"/>
              </w:rPr>
              <w:t>10</w:t>
            </w:r>
          </w:p>
        </w:tc>
        <w:tc>
          <w:tcPr>
            <w:tcW w:w="4893" w:type="dxa"/>
            <w:vAlign w:val="center"/>
          </w:tcPr>
          <w:p>
            <w:pPr>
              <w:textAlignment w:val="center"/>
              <w:rPr>
                <w:rFonts w:ascii="宋体" w:hAnsi="宋体" w:cs="宋体"/>
                <w:szCs w:val="21"/>
              </w:rPr>
            </w:pPr>
            <w:r>
              <w:rPr>
                <w:rFonts w:hint="eastAsia" w:ascii="宋体" w:hAnsi="宋体" w:cs="宋体"/>
                <w:bCs/>
                <w:lang w:bidi="ar"/>
              </w:rPr>
              <w:t>完全满足招标文件中《第五章技术规范书》要求的得10分，部分满足的得5分，基本不满足的不予应答。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6" w:type="dxa"/>
            <w:vMerge w:val="restart"/>
            <w:vAlign w:val="center"/>
          </w:tcPr>
          <w:p>
            <w:pPr>
              <w:jc w:val="center"/>
              <w:textAlignment w:val="center"/>
              <w:rPr>
                <w:rFonts w:ascii="宋体" w:hAnsi="宋体" w:cs="宋体"/>
                <w:b/>
                <w:bCs/>
                <w:kern w:val="0"/>
                <w:szCs w:val="21"/>
                <w:lang w:bidi="ar"/>
              </w:rPr>
            </w:pPr>
            <w:r>
              <w:rPr>
                <w:rFonts w:hint="eastAsia" w:ascii="宋体" w:hAnsi="宋体" w:cs="宋体"/>
                <w:kern w:val="0"/>
                <w:szCs w:val="21"/>
                <w:lang w:bidi="ar"/>
              </w:rPr>
              <w:t>技术服务部分</w:t>
            </w:r>
          </w:p>
          <w:p>
            <w:pPr>
              <w:snapToGrid w:val="0"/>
              <w:rPr>
                <w:rFonts w:ascii="宋体" w:hAnsi="宋体" w:cs="宋体"/>
                <w:kern w:val="0"/>
                <w:szCs w:val="21"/>
                <w:lang w:bidi="ar"/>
              </w:rPr>
            </w:pPr>
            <w:r>
              <w:rPr>
                <w:rFonts w:hint="eastAsia" w:ascii="宋体" w:hAnsi="宋体" w:cs="宋体"/>
                <w:kern w:val="0"/>
                <w:szCs w:val="21"/>
                <w:lang w:bidi="ar"/>
              </w:rPr>
              <w:t>（</w:t>
            </w:r>
            <w:r>
              <w:rPr>
                <w:rFonts w:ascii="宋体" w:hAnsi="宋体" w:cs="宋体" w:eastAsiaTheme="minorEastAsia"/>
                <w:kern w:val="0"/>
                <w:szCs w:val="21"/>
                <w:lang w:bidi="ar"/>
              </w:rPr>
              <w:t>35</w:t>
            </w:r>
            <w:r>
              <w:rPr>
                <w:rFonts w:hint="eastAsia" w:ascii="宋体" w:hAnsi="宋体" w:cs="宋体"/>
                <w:kern w:val="0"/>
                <w:szCs w:val="21"/>
                <w:lang w:bidi="ar"/>
              </w:rPr>
              <w:t>分）</w:t>
            </w:r>
          </w:p>
        </w:tc>
        <w:tc>
          <w:tcPr>
            <w:tcW w:w="941" w:type="dxa"/>
            <w:vAlign w:val="center"/>
          </w:tcPr>
          <w:p>
            <w:pPr>
              <w:jc w:val="center"/>
              <w:textAlignment w:val="center"/>
              <w:rPr>
                <w:rFonts w:ascii="宋体" w:hAnsi="宋体" w:cs="宋体"/>
                <w:bCs/>
                <w:kern w:val="0"/>
                <w:szCs w:val="21"/>
                <w:lang w:bidi="ar"/>
              </w:rPr>
            </w:pPr>
            <w:r>
              <w:rPr>
                <w:rFonts w:hint="eastAsia" w:ascii="宋体" w:hAnsi="宋体" w:cs="宋体"/>
                <w:bCs/>
                <w:kern w:val="0"/>
                <w:szCs w:val="21"/>
                <w:lang w:bidi="ar"/>
              </w:rPr>
              <w:t>项目</w:t>
            </w:r>
          </w:p>
          <w:p>
            <w:pPr>
              <w:jc w:val="center"/>
              <w:textAlignment w:val="center"/>
              <w:rPr>
                <w:rFonts w:ascii="宋体" w:hAnsi="宋体" w:cs="宋体"/>
                <w:bCs/>
                <w:kern w:val="0"/>
                <w:szCs w:val="21"/>
                <w:lang w:bidi="ar"/>
              </w:rPr>
            </w:pPr>
            <w:r>
              <w:rPr>
                <w:rFonts w:hint="eastAsia" w:ascii="宋体" w:hAnsi="宋体" w:cs="宋体"/>
                <w:bCs/>
                <w:kern w:val="0"/>
                <w:szCs w:val="21"/>
                <w:lang w:bidi="ar"/>
              </w:rPr>
              <w:t>人员</w:t>
            </w:r>
          </w:p>
        </w:tc>
        <w:tc>
          <w:tcPr>
            <w:tcW w:w="791" w:type="dxa"/>
            <w:vAlign w:val="center"/>
          </w:tcPr>
          <w:p>
            <w:pPr>
              <w:jc w:val="center"/>
              <w:textAlignment w:val="center"/>
              <w:rPr>
                <w:rFonts w:ascii="宋体" w:hAnsi="宋体" w:cs="宋体"/>
                <w:bCs/>
                <w:kern w:val="0"/>
                <w:szCs w:val="21"/>
                <w:lang w:bidi="ar"/>
              </w:rPr>
            </w:pPr>
            <w:r>
              <w:rPr>
                <w:rFonts w:ascii="宋体" w:hAnsi="宋体" w:cs="宋体"/>
                <w:bCs/>
                <w:kern w:val="0"/>
                <w:szCs w:val="21"/>
                <w:lang w:bidi="ar"/>
              </w:rPr>
              <w:t>12</w:t>
            </w:r>
          </w:p>
        </w:tc>
        <w:tc>
          <w:tcPr>
            <w:tcW w:w="4893" w:type="dxa"/>
            <w:vAlign w:val="center"/>
          </w:tcPr>
          <w:p>
            <w:pPr>
              <w:pStyle w:val="98"/>
              <w:spacing w:before="0" w:beforeAutospacing="0" w:after="0" w:afterAutospacing="0"/>
              <w:jc w:val="both"/>
              <w:rPr>
                <w:bCs/>
                <w:color w:val="000000"/>
                <w:sz w:val="21"/>
                <w:lang w:bidi="ar"/>
              </w:rPr>
            </w:pPr>
            <w:r>
              <w:rPr>
                <w:rFonts w:hint="eastAsia"/>
                <w:bCs/>
                <w:color w:val="000000"/>
                <w:sz w:val="21"/>
                <w:lang w:bidi="ar"/>
              </w:rPr>
              <w:t>投标人具备完善的人员体系：</w:t>
            </w:r>
          </w:p>
          <w:p>
            <w:pPr>
              <w:pStyle w:val="98"/>
              <w:numPr>
                <w:ilvl w:val="0"/>
                <w:numId w:val="0"/>
              </w:numPr>
              <w:spacing w:before="0" w:beforeAutospacing="0" w:after="0" w:afterAutospacing="0"/>
              <w:ind w:leftChars="0"/>
              <w:jc w:val="both"/>
              <w:rPr>
                <w:bCs/>
                <w:color w:val="000000"/>
                <w:sz w:val="21"/>
                <w:lang w:bidi="ar"/>
              </w:rPr>
            </w:pPr>
            <w:r>
              <w:rPr>
                <w:rFonts w:hint="eastAsia"/>
                <w:bCs/>
                <w:color w:val="000000"/>
                <w:sz w:val="21"/>
                <w:lang w:val="en-US" w:eastAsia="zh-CN" w:bidi="ar"/>
              </w:rPr>
              <w:t>1.</w:t>
            </w:r>
            <w:r>
              <w:rPr>
                <w:rFonts w:hint="eastAsia"/>
                <w:bCs/>
                <w:color w:val="000000"/>
                <w:sz w:val="21"/>
                <w:lang w:bidi="ar"/>
              </w:rPr>
              <w:t>每位具有中国民航局颁发的垂直起降固定翼超视距操控员资质人员得2分，最多计4分；</w:t>
            </w:r>
          </w:p>
          <w:p>
            <w:pPr>
              <w:pStyle w:val="98"/>
              <w:numPr>
                <w:ilvl w:val="0"/>
                <w:numId w:val="0"/>
              </w:numPr>
              <w:spacing w:before="0" w:beforeAutospacing="0" w:after="0" w:afterAutospacing="0"/>
              <w:ind w:leftChars="0"/>
              <w:jc w:val="both"/>
              <w:rPr>
                <w:rFonts w:hint="eastAsia" w:eastAsia="宋体"/>
                <w:bCs/>
                <w:color w:val="000000"/>
                <w:sz w:val="21"/>
                <w:lang w:eastAsia="zh-CN" w:bidi="ar"/>
              </w:rPr>
            </w:pPr>
            <w:r>
              <w:rPr>
                <w:rFonts w:hint="eastAsia"/>
                <w:bCs/>
                <w:color w:val="000000"/>
                <w:sz w:val="21"/>
                <w:lang w:val="en-US" w:eastAsia="zh-CN" w:bidi="ar"/>
              </w:rPr>
              <w:t>2.</w:t>
            </w:r>
            <w:r>
              <w:rPr>
                <w:rFonts w:hint="eastAsia"/>
                <w:bCs/>
                <w:color w:val="000000"/>
                <w:sz w:val="21"/>
                <w:lang w:bidi="ar"/>
              </w:rPr>
              <w:t>每位具有中国民航颁发的多旋翼教员资质人员得2分，最多计</w:t>
            </w:r>
            <w:r>
              <w:rPr>
                <w:bCs/>
                <w:color w:val="000000"/>
                <w:sz w:val="21"/>
                <w:lang w:bidi="ar"/>
              </w:rPr>
              <w:t>8</w:t>
            </w:r>
            <w:r>
              <w:rPr>
                <w:rFonts w:hint="eastAsia"/>
                <w:bCs/>
                <w:color w:val="000000"/>
                <w:sz w:val="21"/>
                <w:lang w:bidi="ar"/>
              </w:rPr>
              <w:t>分</w:t>
            </w:r>
            <w:r>
              <w:rPr>
                <w:rFonts w:hint="eastAsia"/>
                <w:bCs/>
                <w:color w:val="000000"/>
                <w:sz w:val="21"/>
                <w:lang w:eastAsia="zh-CN" w:bidi="ar"/>
              </w:rPr>
              <w:t>；</w:t>
            </w:r>
          </w:p>
          <w:p>
            <w:pPr>
              <w:pStyle w:val="98"/>
              <w:numPr>
                <w:ilvl w:val="0"/>
                <w:numId w:val="0"/>
              </w:numPr>
              <w:spacing w:before="0" w:beforeAutospacing="0" w:after="0" w:afterAutospacing="0"/>
              <w:ind w:leftChars="0"/>
              <w:jc w:val="both"/>
              <w:rPr>
                <w:rFonts w:hint="eastAsia" w:eastAsia="宋体"/>
                <w:bCs/>
                <w:color w:val="000000"/>
                <w:sz w:val="21"/>
                <w:lang w:eastAsia="zh-CN" w:bidi="ar"/>
              </w:rPr>
            </w:pPr>
            <w:r>
              <w:rPr>
                <w:rFonts w:hint="eastAsia"/>
                <w:bCs/>
                <w:color w:val="000000"/>
                <w:sz w:val="21"/>
                <w:lang w:val="en-US" w:eastAsia="zh-CN" w:bidi="ar"/>
              </w:rPr>
              <w:t>3.</w:t>
            </w:r>
            <w:r>
              <w:rPr>
                <w:bCs/>
                <w:color w:val="000000"/>
                <w:sz w:val="21"/>
                <w:lang w:bidi="ar"/>
              </w:rPr>
              <w:t>备注：</w:t>
            </w:r>
            <w:r>
              <w:rPr>
                <w:rFonts w:hint="eastAsia"/>
                <w:bCs/>
                <w:color w:val="000000"/>
                <w:sz w:val="21"/>
                <w:lang w:bidi="ar"/>
              </w:rPr>
              <w:t>提供与符合要求的人员签订的用工合同及执照复印件，教员资质的需提供投标单位的社保交纳证明，不提供不得分，原件备查</w:t>
            </w:r>
            <w:r>
              <w:rPr>
                <w:rFonts w:hint="eastAsia"/>
                <w:bCs/>
                <w:color w:val="000000"/>
                <w:sz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6" w:type="dxa"/>
            <w:vMerge w:val="continue"/>
            <w:vAlign w:val="center"/>
          </w:tcPr>
          <w:p>
            <w:pPr>
              <w:jc w:val="center"/>
              <w:textAlignment w:val="center"/>
              <w:rPr>
                <w:rFonts w:ascii="宋体" w:hAnsi="宋体" w:cs="宋体"/>
                <w:kern w:val="0"/>
                <w:szCs w:val="21"/>
                <w:lang w:bidi="ar"/>
              </w:rPr>
            </w:pPr>
          </w:p>
        </w:tc>
        <w:tc>
          <w:tcPr>
            <w:tcW w:w="941" w:type="dxa"/>
            <w:vAlign w:val="center"/>
          </w:tcPr>
          <w:p>
            <w:pPr>
              <w:jc w:val="center"/>
              <w:textAlignment w:val="center"/>
              <w:rPr>
                <w:rFonts w:ascii="宋体" w:hAnsi="宋体" w:cs="宋体"/>
                <w:bCs/>
                <w:kern w:val="0"/>
                <w:szCs w:val="21"/>
                <w:lang w:bidi="ar"/>
              </w:rPr>
            </w:pPr>
            <w:r>
              <w:rPr>
                <w:rFonts w:hint="eastAsia" w:ascii="宋体" w:hAnsi="宋体" w:cs="宋体"/>
                <w:szCs w:val="21"/>
              </w:rPr>
              <w:t>技术方案</w:t>
            </w:r>
          </w:p>
        </w:tc>
        <w:tc>
          <w:tcPr>
            <w:tcW w:w="791" w:type="dxa"/>
            <w:vAlign w:val="center"/>
          </w:tcPr>
          <w:p>
            <w:pPr>
              <w:jc w:val="center"/>
              <w:textAlignment w:val="center"/>
              <w:rPr>
                <w:rFonts w:ascii="宋体" w:hAnsi="宋体" w:cs="宋体"/>
                <w:bCs/>
                <w:kern w:val="0"/>
                <w:szCs w:val="21"/>
                <w:lang w:bidi="ar"/>
              </w:rPr>
            </w:pPr>
            <w:r>
              <w:rPr>
                <w:rFonts w:hint="eastAsia" w:ascii="宋体" w:hAnsi="宋体" w:cs="宋体" w:eastAsiaTheme="minorEastAsia"/>
                <w:bCs/>
                <w:kern w:val="0"/>
                <w:szCs w:val="21"/>
                <w:lang w:bidi="ar"/>
              </w:rPr>
              <w:t>1</w:t>
            </w:r>
            <w:r>
              <w:rPr>
                <w:rFonts w:ascii="宋体" w:hAnsi="宋体" w:cs="宋体" w:eastAsiaTheme="minorEastAsia"/>
                <w:bCs/>
                <w:kern w:val="0"/>
                <w:szCs w:val="21"/>
                <w:lang w:bidi="ar"/>
              </w:rPr>
              <w:t>0</w:t>
            </w:r>
          </w:p>
        </w:tc>
        <w:tc>
          <w:tcPr>
            <w:tcW w:w="4893" w:type="dxa"/>
            <w:vAlign w:val="center"/>
          </w:tcPr>
          <w:p>
            <w:pPr>
              <w:pStyle w:val="98"/>
              <w:spacing w:before="0" w:beforeAutospacing="0" w:after="0" w:afterAutospacing="0"/>
              <w:jc w:val="both"/>
              <w:rPr>
                <w:bCs/>
                <w:color w:val="000000"/>
                <w:sz w:val="21"/>
                <w:lang w:bidi="ar"/>
              </w:rPr>
            </w:pPr>
            <w:r>
              <w:rPr>
                <w:rFonts w:hint="eastAsia"/>
                <w:bCs/>
                <w:color w:val="000000"/>
                <w:sz w:val="21"/>
                <w:lang w:bidi="ar"/>
              </w:rPr>
              <w:t>根据投标人为本项目提供的技术方案综合打分，优得1</w:t>
            </w:r>
            <w:r>
              <w:rPr>
                <w:bCs/>
                <w:color w:val="000000"/>
                <w:sz w:val="21"/>
                <w:lang w:bidi="ar"/>
              </w:rPr>
              <w:t>0</w:t>
            </w:r>
            <w:r>
              <w:rPr>
                <w:rFonts w:hint="eastAsia"/>
                <w:bCs/>
                <w:color w:val="000000"/>
                <w:sz w:val="21"/>
                <w:lang w:bidi="ar"/>
              </w:rPr>
              <w:t>分，良得</w:t>
            </w:r>
            <w:r>
              <w:rPr>
                <w:bCs/>
                <w:color w:val="000000"/>
                <w:sz w:val="21"/>
                <w:lang w:bidi="ar"/>
              </w:rPr>
              <w:t>7</w:t>
            </w:r>
            <w:r>
              <w:rPr>
                <w:rFonts w:hint="eastAsia"/>
                <w:bCs/>
                <w:color w:val="000000"/>
                <w:sz w:val="21"/>
                <w:lang w:bidi="ar"/>
              </w:rPr>
              <w:t>分，一般得</w:t>
            </w:r>
            <w:r>
              <w:rPr>
                <w:bCs/>
                <w:color w:val="000000"/>
                <w:sz w:val="21"/>
                <w:lang w:bidi="ar"/>
              </w:rPr>
              <w:t>4</w:t>
            </w:r>
            <w:r>
              <w:rPr>
                <w:rFonts w:hint="eastAsia"/>
                <w:bCs/>
                <w:color w:val="000000"/>
                <w:sz w:val="21"/>
                <w:lang w:bidi="ar"/>
              </w:rPr>
              <w:t>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6" w:type="dxa"/>
            <w:vMerge w:val="continue"/>
            <w:vAlign w:val="center"/>
          </w:tcPr>
          <w:p>
            <w:pPr>
              <w:jc w:val="center"/>
              <w:textAlignment w:val="center"/>
              <w:rPr>
                <w:rFonts w:ascii="宋体" w:hAnsi="宋体" w:cs="宋体"/>
                <w:kern w:val="0"/>
                <w:szCs w:val="21"/>
                <w:lang w:bidi="ar"/>
              </w:rPr>
            </w:pPr>
          </w:p>
        </w:tc>
        <w:tc>
          <w:tcPr>
            <w:tcW w:w="941" w:type="dxa"/>
            <w:vAlign w:val="center"/>
          </w:tcPr>
          <w:p>
            <w:pPr>
              <w:jc w:val="center"/>
              <w:textAlignment w:val="center"/>
              <w:rPr>
                <w:rFonts w:ascii="宋体" w:hAnsi="宋体" w:cs="宋体"/>
                <w:bCs/>
                <w:kern w:val="0"/>
                <w:szCs w:val="21"/>
                <w:lang w:bidi="ar"/>
              </w:rPr>
            </w:pPr>
            <w:r>
              <w:rPr>
                <w:rFonts w:hint="eastAsia" w:ascii="宋体" w:hAnsi="宋体" w:cs="宋体"/>
                <w:bCs/>
                <w:kern w:val="0"/>
                <w:szCs w:val="21"/>
                <w:lang w:bidi="ar"/>
              </w:rPr>
              <w:t>项目</w:t>
            </w:r>
          </w:p>
          <w:p>
            <w:pPr>
              <w:jc w:val="center"/>
              <w:textAlignment w:val="center"/>
              <w:rPr>
                <w:rFonts w:ascii="宋体" w:hAnsi="宋体" w:cs="宋体"/>
                <w:bCs/>
                <w:kern w:val="0"/>
                <w:szCs w:val="21"/>
                <w:lang w:bidi="ar"/>
              </w:rPr>
            </w:pPr>
            <w:r>
              <w:rPr>
                <w:rFonts w:hint="eastAsia" w:ascii="宋体" w:hAnsi="宋体" w:cs="宋体"/>
                <w:bCs/>
                <w:kern w:val="0"/>
                <w:szCs w:val="21"/>
                <w:lang w:bidi="ar"/>
              </w:rPr>
              <w:t>响应</w:t>
            </w:r>
          </w:p>
        </w:tc>
        <w:tc>
          <w:tcPr>
            <w:tcW w:w="791" w:type="dxa"/>
            <w:vAlign w:val="center"/>
          </w:tcPr>
          <w:p>
            <w:pPr>
              <w:jc w:val="center"/>
              <w:textAlignment w:val="center"/>
              <w:rPr>
                <w:rFonts w:ascii="宋体" w:hAnsi="宋体" w:cs="宋体"/>
                <w:bCs/>
                <w:kern w:val="0"/>
                <w:szCs w:val="21"/>
                <w:lang w:bidi="ar"/>
              </w:rPr>
            </w:pPr>
            <w:r>
              <w:rPr>
                <w:rFonts w:hint="eastAsia" w:ascii="宋体" w:hAnsi="宋体" w:cs="宋体"/>
                <w:bCs/>
                <w:kern w:val="0"/>
                <w:szCs w:val="21"/>
                <w:lang w:bidi="ar"/>
              </w:rPr>
              <w:t>2</w:t>
            </w:r>
          </w:p>
        </w:tc>
        <w:tc>
          <w:tcPr>
            <w:tcW w:w="4893" w:type="dxa"/>
            <w:vAlign w:val="center"/>
          </w:tcPr>
          <w:p>
            <w:pPr>
              <w:pStyle w:val="98"/>
              <w:spacing w:before="0" w:beforeAutospacing="0" w:after="0" w:afterAutospacing="0"/>
              <w:jc w:val="both"/>
              <w:rPr>
                <w:bCs/>
                <w:color w:val="000000"/>
                <w:sz w:val="21"/>
                <w:lang w:bidi="ar"/>
              </w:rPr>
            </w:pPr>
            <w:r>
              <w:rPr>
                <w:rFonts w:hint="eastAsia"/>
                <w:bCs/>
                <w:color w:val="000000"/>
                <w:sz w:val="21"/>
                <w:lang w:bidi="ar"/>
              </w:rPr>
              <w:t>承诺</w:t>
            </w:r>
            <w:r>
              <w:rPr>
                <w:bCs/>
                <w:color w:val="000000"/>
                <w:sz w:val="21"/>
                <w:lang w:bidi="ar"/>
              </w:rPr>
              <w:t>7</w:t>
            </w:r>
            <w:r>
              <w:rPr>
                <w:rFonts w:hint="eastAsia"/>
                <w:bCs/>
                <w:color w:val="000000"/>
                <w:sz w:val="21"/>
                <w:lang w:bidi="ar"/>
              </w:rPr>
              <w:t>×</w:t>
            </w:r>
            <w:r>
              <w:rPr>
                <w:bCs/>
                <w:color w:val="000000"/>
                <w:sz w:val="21"/>
                <w:lang w:bidi="ar"/>
              </w:rPr>
              <w:t>24</w:t>
            </w:r>
            <w:r>
              <w:rPr>
                <w:rFonts w:hint="eastAsia"/>
                <w:bCs/>
                <w:color w:val="000000"/>
                <w:sz w:val="21"/>
                <w:lang w:bidi="ar"/>
              </w:rPr>
              <w:t>小时响应的计2分，不满足该条件的计1分，未作响应承诺的不得分。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746" w:type="dxa"/>
            <w:vMerge w:val="continue"/>
            <w:vAlign w:val="center"/>
          </w:tcPr>
          <w:p>
            <w:pPr>
              <w:snapToGrid w:val="0"/>
              <w:rPr>
                <w:rFonts w:ascii="宋体" w:hAnsi="宋体" w:cs="宋体"/>
                <w:szCs w:val="21"/>
              </w:rPr>
            </w:pPr>
          </w:p>
        </w:tc>
        <w:tc>
          <w:tcPr>
            <w:tcW w:w="941" w:type="dxa"/>
            <w:vMerge w:val="restart"/>
            <w:vAlign w:val="center"/>
          </w:tcPr>
          <w:p>
            <w:pPr>
              <w:jc w:val="center"/>
              <w:textAlignment w:val="center"/>
              <w:rPr>
                <w:rFonts w:ascii="宋体" w:hAnsi="宋体" w:cs="宋体"/>
                <w:kern w:val="0"/>
                <w:szCs w:val="21"/>
              </w:rPr>
            </w:pPr>
            <w:r>
              <w:rPr>
                <w:rFonts w:hint="eastAsia" w:ascii="宋体" w:hAnsi="宋体" w:cs="宋体"/>
                <w:kern w:val="0"/>
                <w:szCs w:val="21"/>
              </w:rPr>
              <w:t>服务</w:t>
            </w:r>
          </w:p>
          <w:p>
            <w:pPr>
              <w:jc w:val="center"/>
              <w:textAlignment w:val="center"/>
              <w:rPr>
                <w:rFonts w:ascii="宋体" w:hAnsi="宋体" w:cs="宋体"/>
                <w:bCs/>
                <w:kern w:val="0"/>
                <w:szCs w:val="21"/>
                <w:lang w:bidi="ar"/>
              </w:rPr>
            </w:pPr>
            <w:r>
              <w:rPr>
                <w:rFonts w:hint="eastAsia" w:ascii="宋体" w:hAnsi="宋体" w:cs="宋体"/>
                <w:kern w:val="0"/>
                <w:szCs w:val="21"/>
              </w:rPr>
              <w:t>团队</w:t>
            </w:r>
          </w:p>
        </w:tc>
        <w:tc>
          <w:tcPr>
            <w:tcW w:w="791" w:type="dxa"/>
            <w:vAlign w:val="center"/>
          </w:tcPr>
          <w:p>
            <w:pPr>
              <w:jc w:val="center"/>
              <w:textAlignment w:val="center"/>
              <w:rPr>
                <w:rFonts w:ascii="宋体" w:hAnsi="宋体" w:cs="宋体"/>
                <w:bCs/>
                <w:kern w:val="0"/>
                <w:szCs w:val="21"/>
                <w:lang w:bidi="ar"/>
              </w:rPr>
            </w:pPr>
            <w:r>
              <w:rPr>
                <w:rFonts w:ascii="宋体" w:hAnsi="宋体" w:cs="宋体"/>
                <w:kern w:val="0"/>
                <w:szCs w:val="21"/>
              </w:rPr>
              <w:t>4</w:t>
            </w:r>
          </w:p>
        </w:tc>
        <w:tc>
          <w:tcPr>
            <w:tcW w:w="4893" w:type="dxa"/>
            <w:vAlign w:val="center"/>
          </w:tcPr>
          <w:p>
            <w:pPr>
              <w:textAlignment w:val="center"/>
              <w:rPr>
                <w:rFonts w:ascii="宋体" w:hAnsi="宋体" w:cs="宋体"/>
                <w:bCs/>
                <w:kern w:val="0"/>
                <w:szCs w:val="21"/>
                <w:lang w:bidi="ar"/>
              </w:rPr>
            </w:pPr>
            <w:r>
              <w:rPr>
                <w:rFonts w:hint="eastAsia" w:ascii="宋体" w:hAnsi="宋体" w:cs="宋体"/>
                <w:kern w:val="0"/>
                <w:szCs w:val="21"/>
              </w:rPr>
              <w:t>根据投标人为本项目配备的服务团队情况综合得分。内容包括但不限于组织管理架构，项目部署人员、项目实施人员、检修维护人员情况等。优得</w:t>
            </w:r>
            <w:r>
              <w:rPr>
                <w:rFonts w:ascii="宋体" w:hAnsi="宋体" w:cs="宋体"/>
                <w:kern w:val="0"/>
                <w:szCs w:val="21"/>
              </w:rPr>
              <w:t>4</w:t>
            </w:r>
            <w:r>
              <w:rPr>
                <w:rFonts w:hint="eastAsia" w:ascii="宋体" w:hAnsi="宋体" w:cs="宋体"/>
                <w:kern w:val="0"/>
                <w:szCs w:val="21"/>
              </w:rPr>
              <w:t>分，良得</w:t>
            </w:r>
            <w:r>
              <w:rPr>
                <w:rFonts w:ascii="宋体" w:hAnsi="宋体" w:cs="宋体"/>
                <w:kern w:val="0"/>
                <w:szCs w:val="21"/>
              </w:rPr>
              <w:t>3</w:t>
            </w:r>
            <w:r>
              <w:rPr>
                <w:rFonts w:hint="eastAsia" w:ascii="宋体" w:hAnsi="宋体" w:cs="宋体"/>
                <w:kern w:val="0"/>
                <w:szCs w:val="21"/>
              </w:rPr>
              <w:t>分，一般得</w:t>
            </w:r>
            <w:r>
              <w:rPr>
                <w:rFonts w:ascii="宋体" w:hAnsi="宋体" w:cs="宋体"/>
                <w:kern w:val="0"/>
                <w:szCs w:val="21"/>
              </w:rPr>
              <w:t>2</w:t>
            </w:r>
            <w:r>
              <w:rPr>
                <w:rFonts w:hint="eastAsia" w:ascii="宋体" w:hAnsi="宋体" w:cs="宋体"/>
                <w:kern w:val="0"/>
                <w:szCs w:val="21"/>
              </w:rPr>
              <w:t>分，差得</w:t>
            </w:r>
            <w:r>
              <w:rPr>
                <w:rFonts w:ascii="宋体" w:hAnsi="宋体" w:cs="宋体"/>
                <w:kern w:val="0"/>
                <w:szCs w:val="21"/>
              </w:rPr>
              <w:t>1</w:t>
            </w:r>
            <w:r>
              <w:rPr>
                <w:rFonts w:hint="eastAsia" w:ascii="宋体" w:hAnsi="宋体" w:cs="宋体"/>
                <w:kern w:val="0"/>
                <w:szCs w:val="21"/>
              </w:rPr>
              <w:t>分，未提供相关资料不得分。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746" w:type="dxa"/>
            <w:vMerge w:val="continue"/>
            <w:vAlign w:val="center"/>
          </w:tcPr>
          <w:p>
            <w:pPr>
              <w:snapToGrid w:val="0"/>
              <w:rPr>
                <w:rFonts w:ascii="宋体" w:hAnsi="宋体" w:cs="宋体"/>
                <w:szCs w:val="21"/>
              </w:rPr>
            </w:pPr>
          </w:p>
        </w:tc>
        <w:tc>
          <w:tcPr>
            <w:tcW w:w="941" w:type="dxa"/>
            <w:vMerge w:val="continue"/>
            <w:vAlign w:val="center"/>
          </w:tcPr>
          <w:p>
            <w:pPr>
              <w:jc w:val="center"/>
              <w:textAlignment w:val="center"/>
              <w:rPr>
                <w:rFonts w:ascii="宋体" w:hAnsi="宋体" w:cs="宋体"/>
                <w:kern w:val="0"/>
                <w:szCs w:val="21"/>
              </w:rPr>
            </w:pPr>
          </w:p>
        </w:tc>
        <w:tc>
          <w:tcPr>
            <w:tcW w:w="791" w:type="dxa"/>
            <w:vAlign w:val="center"/>
          </w:tcPr>
          <w:p>
            <w:pPr>
              <w:jc w:val="center"/>
              <w:textAlignment w:val="center"/>
              <w:rPr>
                <w:rFonts w:ascii="宋体" w:hAnsi="宋体" w:cs="宋体"/>
                <w:kern w:val="0"/>
                <w:szCs w:val="21"/>
              </w:rPr>
            </w:pPr>
            <w:r>
              <w:rPr>
                <w:rFonts w:ascii="宋体" w:hAnsi="宋体" w:cs="宋体"/>
                <w:kern w:val="0"/>
                <w:szCs w:val="21"/>
              </w:rPr>
              <w:t>3</w:t>
            </w:r>
          </w:p>
        </w:tc>
        <w:tc>
          <w:tcPr>
            <w:tcW w:w="4893" w:type="dxa"/>
            <w:vAlign w:val="center"/>
          </w:tcPr>
          <w:p>
            <w:pPr>
              <w:textAlignment w:val="center"/>
              <w:rPr>
                <w:rFonts w:ascii="宋体" w:hAnsi="宋体" w:cs="宋体"/>
                <w:kern w:val="0"/>
                <w:szCs w:val="21"/>
              </w:rPr>
            </w:pPr>
            <w:r>
              <w:rPr>
                <w:rFonts w:hint="eastAsia" w:ascii="宋体" w:hAnsi="宋体" w:cs="宋体"/>
                <w:kern w:val="0"/>
                <w:szCs w:val="21"/>
              </w:rPr>
              <w:t>投标人服务团队中配备持有有效期内的无人机应急救援专业操控员合格证的人员的得2分，未配备的不得分。</w:t>
            </w:r>
          </w:p>
          <w:p>
            <w:pPr>
              <w:textAlignment w:val="center"/>
              <w:rPr>
                <w:rFonts w:ascii="宋体" w:hAnsi="宋体" w:cs="宋体"/>
                <w:kern w:val="0"/>
                <w:szCs w:val="21"/>
              </w:rPr>
            </w:pPr>
            <w:r>
              <w:rPr>
                <w:rFonts w:ascii="宋体" w:hAnsi="宋体"/>
                <w:bCs/>
                <w:kern w:val="0"/>
                <w:sz w:val="20"/>
                <w:szCs w:val="20"/>
              </w:rPr>
              <w:t>备注：</w:t>
            </w:r>
            <w:r>
              <w:rPr>
                <w:rFonts w:hint="eastAsia" w:ascii="宋体" w:hAnsi="宋体"/>
                <w:bCs/>
                <w:kern w:val="0"/>
                <w:sz w:val="20"/>
                <w:szCs w:val="20"/>
              </w:rPr>
              <w:t>提供</w:t>
            </w:r>
            <w:r>
              <w:rPr>
                <w:rFonts w:hint="eastAsia" w:ascii="宋体" w:hAnsi="宋体" w:cs="宋体"/>
                <w:bCs/>
                <w:kern w:val="0"/>
                <w:sz w:val="20"/>
                <w:szCs w:val="20"/>
              </w:rPr>
              <w:t>与</w:t>
            </w:r>
            <w:r>
              <w:rPr>
                <w:rFonts w:hint="eastAsia" w:ascii="宋体" w:hAnsi="宋体"/>
                <w:bCs/>
                <w:szCs w:val="20"/>
              </w:rPr>
              <w:t>符合要求的人员</w:t>
            </w:r>
            <w:r>
              <w:rPr>
                <w:rFonts w:hint="eastAsia" w:ascii="宋体" w:hAnsi="宋体" w:cs="宋体"/>
                <w:bCs/>
                <w:szCs w:val="20"/>
              </w:rPr>
              <w:t>签订的用工合同</w:t>
            </w:r>
            <w:r>
              <w:rPr>
                <w:rFonts w:hint="eastAsia" w:ascii="宋体" w:hAnsi="宋体"/>
                <w:bCs/>
                <w:kern w:val="0"/>
                <w:sz w:val="20"/>
                <w:szCs w:val="20"/>
              </w:rPr>
              <w:t>及执照</w:t>
            </w:r>
            <w:r>
              <w:rPr>
                <w:rFonts w:hint="eastAsia" w:ascii="宋体" w:hAnsi="宋体" w:cs="宋体"/>
                <w:bCs/>
                <w:kern w:val="0"/>
                <w:sz w:val="20"/>
                <w:szCs w:val="20"/>
              </w:rPr>
              <w:t>复印件</w:t>
            </w:r>
            <w:r>
              <w:rPr>
                <w:rFonts w:hint="eastAsia" w:ascii="宋体" w:hAnsi="宋体"/>
                <w:bCs/>
                <w:kern w:val="0"/>
                <w:sz w:val="20"/>
                <w:szCs w:val="20"/>
              </w:rPr>
              <w:t>，不提供不得分，</w:t>
            </w:r>
            <w:r>
              <w:rPr>
                <w:rFonts w:hint="eastAsia" w:ascii="宋体" w:hAnsi="宋体"/>
                <w:bCs/>
                <w:szCs w:val="20"/>
              </w:rPr>
              <w:t>原件</w:t>
            </w:r>
            <w:r>
              <w:rPr>
                <w:rFonts w:hint="eastAsia" w:ascii="宋体" w:hAnsi="宋体"/>
                <w:bCs/>
                <w:kern w:val="0"/>
                <w:sz w:val="20"/>
                <w:szCs w:val="20"/>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46" w:type="dxa"/>
            <w:vMerge w:val="continue"/>
            <w:vAlign w:val="center"/>
          </w:tcPr>
          <w:p>
            <w:pPr>
              <w:snapToGrid w:val="0"/>
              <w:rPr>
                <w:rFonts w:ascii="宋体" w:hAnsi="宋体" w:cs="宋体"/>
                <w:szCs w:val="21"/>
              </w:rPr>
            </w:pPr>
          </w:p>
        </w:tc>
        <w:tc>
          <w:tcPr>
            <w:tcW w:w="941" w:type="dxa"/>
            <w:vMerge w:val="restart"/>
            <w:vAlign w:val="center"/>
          </w:tcPr>
          <w:p>
            <w:pPr>
              <w:pStyle w:val="98"/>
              <w:spacing w:after="0"/>
              <w:jc w:val="center"/>
              <w:rPr>
                <w:bCs/>
                <w:color w:val="000000"/>
                <w:sz w:val="21"/>
                <w:lang w:bidi="ar"/>
              </w:rPr>
            </w:pPr>
            <w:r>
              <w:rPr>
                <w:rFonts w:hint="eastAsia"/>
                <w:bCs/>
                <w:color w:val="000000"/>
                <w:sz w:val="21"/>
                <w:lang w:bidi="ar"/>
              </w:rPr>
              <w:t>服务</w:t>
            </w:r>
          </w:p>
          <w:p>
            <w:pPr>
              <w:pStyle w:val="98"/>
              <w:spacing w:after="0"/>
              <w:jc w:val="center"/>
              <w:rPr>
                <w:bCs/>
                <w:color w:val="000000"/>
                <w:sz w:val="21"/>
                <w:lang w:bidi="ar"/>
              </w:rPr>
            </w:pPr>
            <w:r>
              <w:rPr>
                <w:rFonts w:hint="eastAsia"/>
                <w:bCs/>
                <w:color w:val="000000"/>
                <w:sz w:val="21"/>
                <w:lang w:bidi="ar"/>
              </w:rPr>
              <w:t>方案</w:t>
            </w:r>
          </w:p>
        </w:tc>
        <w:tc>
          <w:tcPr>
            <w:tcW w:w="791" w:type="dxa"/>
            <w:vAlign w:val="center"/>
          </w:tcPr>
          <w:p>
            <w:pPr>
              <w:jc w:val="center"/>
              <w:textAlignment w:val="center"/>
              <w:rPr>
                <w:rFonts w:ascii="宋体" w:hAnsi="宋体" w:cs="宋体" w:eastAsiaTheme="minorEastAsia"/>
                <w:bCs/>
                <w:kern w:val="0"/>
                <w:szCs w:val="21"/>
                <w:lang w:bidi="ar"/>
              </w:rPr>
            </w:pPr>
            <w:r>
              <w:rPr>
                <w:rFonts w:ascii="宋体" w:hAnsi="宋体" w:cs="宋体"/>
                <w:kern w:val="0"/>
                <w:szCs w:val="21"/>
              </w:rPr>
              <w:t>2</w:t>
            </w:r>
          </w:p>
        </w:tc>
        <w:tc>
          <w:tcPr>
            <w:tcW w:w="4893" w:type="dxa"/>
            <w:vAlign w:val="center"/>
          </w:tcPr>
          <w:p>
            <w:pPr>
              <w:pStyle w:val="98"/>
              <w:spacing w:before="0" w:beforeAutospacing="0" w:after="0" w:afterAutospacing="0"/>
              <w:jc w:val="both"/>
              <w:rPr>
                <w:bCs/>
                <w:color w:val="000000"/>
                <w:sz w:val="21"/>
                <w:lang w:bidi="ar"/>
              </w:rPr>
            </w:pPr>
            <w:r>
              <w:rPr>
                <w:rFonts w:hint="eastAsia"/>
                <w:sz w:val="21"/>
              </w:rPr>
              <w:t>根据投标人企业生产交付能力综合评分。内容包括但不限于企业规模，人员资质等综合判断。优得</w:t>
            </w:r>
            <w:r>
              <w:rPr>
                <w:rFonts w:hint="eastAsia" w:eastAsiaTheme="minorEastAsia"/>
                <w:sz w:val="21"/>
              </w:rPr>
              <w:t>2</w:t>
            </w:r>
            <w:r>
              <w:rPr>
                <w:rFonts w:hint="eastAsia"/>
                <w:sz w:val="21"/>
              </w:rPr>
              <w:t>分，良得</w:t>
            </w:r>
            <w:r>
              <w:rPr>
                <w:sz w:val="21"/>
              </w:rPr>
              <w:t>1</w:t>
            </w:r>
            <w:r>
              <w:rPr>
                <w:rFonts w:hint="eastAsia"/>
                <w:sz w:val="21"/>
              </w:rPr>
              <w:t>分，差得</w:t>
            </w:r>
            <w:r>
              <w:rPr>
                <w:rFonts w:hint="eastAsia" w:eastAsiaTheme="minorEastAsia"/>
                <w:sz w:val="21"/>
              </w:rPr>
              <w:t>0</w:t>
            </w:r>
            <w:r>
              <w:rPr>
                <w:rFonts w:eastAsiaTheme="minorEastAsia"/>
                <w:sz w:val="21"/>
              </w:rPr>
              <w:t>.5</w:t>
            </w:r>
            <w:r>
              <w:rPr>
                <w:rFonts w:hint="eastAsia"/>
                <w:sz w:val="21"/>
              </w:rPr>
              <w:t>分，未提供相关资料不得分。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46" w:type="dxa"/>
            <w:vMerge w:val="continue"/>
            <w:vAlign w:val="center"/>
          </w:tcPr>
          <w:p>
            <w:pPr>
              <w:snapToGrid w:val="0"/>
              <w:rPr>
                <w:rFonts w:ascii="宋体" w:hAnsi="宋体" w:cs="宋体"/>
                <w:szCs w:val="21"/>
              </w:rPr>
            </w:pPr>
          </w:p>
        </w:tc>
        <w:tc>
          <w:tcPr>
            <w:tcW w:w="941" w:type="dxa"/>
            <w:vMerge w:val="continue"/>
            <w:vAlign w:val="center"/>
          </w:tcPr>
          <w:p>
            <w:pPr>
              <w:pStyle w:val="98"/>
              <w:spacing w:after="0"/>
              <w:jc w:val="center"/>
              <w:rPr>
                <w:bCs/>
                <w:color w:val="000000"/>
                <w:sz w:val="21"/>
                <w:lang w:bidi="ar"/>
              </w:rPr>
            </w:pPr>
          </w:p>
        </w:tc>
        <w:tc>
          <w:tcPr>
            <w:tcW w:w="791" w:type="dxa"/>
            <w:vAlign w:val="center"/>
          </w:tcPr>
          <w:p>
            <w:pPr>
              <w:jc w:val="center"/>
              <w:textAlignment w:val="center"/>
              <w:rPr>
                <w:rFonts w:ascii="宋体" w:hAnsi="宋体" w:cs="宋体" w:eastAsiaTheme="minorEastAsia"/>
                <w:bCs/>
                <w:kern w:val="0"/>
                <w:szCs w:val="21"/>
                <w:lang w:bidi="ar"/>
              </w:rPr>
            </w:pPr>
            <w:r>
              <w:rPr>
                <w:rFonts w:ascii="宋体" w:hAnsi="宋体" w:cs="宋体"/>
                <w:kern w:val="0"/>
                <w:szCs w:val="21"/>
              </w:rPr>
              <w:t>2</w:t>
            </w:r>
          </w:p>
        </w:tc>
        <w:tc>
          <w:tcPr>
            <w:tcW w:w="4893" w:type="dxa"/>
            <w:vAlign w:val="center"/>
          </w:tcPr>
          <w:p>
            <w:pPr>
              <w:pStyle w:val="98"/>
              <w:spacing w:before="0" w:beforeAutospacing="0" w:after="0" w:afterAutospacing="0"/>
              <w:jc w:val="both"/>
              <w:rPr>
                <w:bCs/>
                <w:color w:val="000000"/>
                <w:sz w:val="21"/>
                <w:lang w:bidi="ar"/>
              </w:rPr>
            </w:pPr>
            <w:r>
              <w:rPr>
                <w:rFonts w:hint="eastAsia"/>
                <w:sz w:val="21"/>
              </w:rPr>
              <w:t>根据投标人提供售后服务方案综合评分。内容包括但不限于残次品替换，上门维修等。优得</w:t>
            </w:r>
            <w:r>
              <w:rPr>
                <w:sz w:val="21"/>
              </w:rPr>
              <w:t>3</w:t>
            </w:r>
            <w:r>
              <w:rPr>
                <w:rFonts w:hint="eastAsia"/>
                <w:sz w:val="21"/>
              </w:rPr>
              <w:t>分，良得</w:t>
            </w:r>
            <w:r>
              <w:rPr>
                <w:sz w:val="21"/>
              </w:rPr>
              <w:t>2</w:t>
            </w:r>
            <w:r>
              <w:rPr>
                <w:rFonts w:hint="eastAsia"/>
                <w:sz w:val="21"/>
              </w:rPr>
              <w:t>分，差得</w:t>
            </w:r>
            <w:r>
              <w:rPr>
                <w:sz w:val="21"/>
              </w:rPr>
              <w:t>0.5</w:t>
            </w:r>
            <w:r>
              <w:rPr>
                <w:rFonts w:hint="eastAsia"/>
                <w:sz w:val="21"/>
              </w:rPr>
              <w:t>分，未提供相关资料不得分。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87" w:type="dxa"/>
            <w:gridSpan w:val="2"/>
            <w:vAlign w:val="center"/>
          </w:tcPr>
          <w:p>
            <w:pPr>
              <w:jc w:val="center"/>
              <w:textAlignment w:val="center"/>
              <w:rPr>
                <w:rFonts w:ascii="宋体" w:hAnsi="宋体" w:cs="宋体" w:eastAsiaTheme="minorEastAsia"/>
                <w:kern w:val="0"/>
                <w:szCs w:val="21"/>
                <w:lang w:bidi="ar"/>
              </w:rPr>
            </w:pPr>
            <w:r>
              <w:rPr>
                <w:rFonts w:hint="eastAsia" w:ascii="宋体" w:hAnsi="宋体" w:cs="宋体"/>
                <w:kern w:val="0"/>
                <w:szCs w:val="21"/>
                <w:lang w:bidi="ar"/>
              </w:rPr>
              <w:t>投标报价</w:t>
            </w:r>
          </w:p>
          <w:p>
            <w:pPr>
              <w:jc w:val="center"/>
              <w:textAlignment w:val="center"/>
              <w:rPr>
                <w:rFonts w:ascii="宋体" w:hAnsi="宋体" w:cs="宋体"/>
                <w:kern w:val="0"/>
                <w:szCs w:val="21"/>
                <w:lang w:bidi="ar"/>
              </w:rPr>
            </w:pPr>
            <w:r>
              <w:rPr>
                <w:rFonts w:hint="eastAsia" w:ascii="宋体" w:hAnsi="宋体" w:cs="宋体"/>
                <w:kern w:val="0"/>
                <w:szCs w:val="21"/>
                <w:lang w:bidi="ar"/>
              </w:rPr>
              <w:t>（</w:t>
            </w:r>
            <w:r>
              <w:rPr>
                <w:rFonts w:ascii="宋体" w:hAnsi="宋体" w:cs="宋体"/>
                <w:kern w:val="0"/>
                <w:szCs w:val="21"/>
                <w:lang w:bidi="ar"/>
              </w:rPr>
              <w:t>3</w:t>
            </w:r>
            <w:r>
              <w:rPr>
                <w:rFonts w:hint="eastAsia" w:ascii="宋体" w:hAnsi="宋体" w:cs="宋体"/>
                <w:kern w:val="0"/>
                <w:szCs w:val="21"/>
                <w:lang w:bidi="ar"/>
              </w:rPr>
              <w:t>0分）</w:t>
            </w:r>
          </w:p>
        </w:tc>
        <w:tc>
          <w:tcPr>
            <w:tcW w:w="791" w:type="dxa"/>
            <w:vAlign w:val="center"/>
          </w:tcPr>
          <w:p>
            <w:pPr>
              <w:jc w:val="center"/>
              <w:textAlignment w:val="center"/>
              <w:rPr>
                <w:rFonts w:ascii="宋体" w:hAnsi="宋体" w:cs="宋体"/>
                <w:kern w:val="0"/>
                <w:szCs w:val="21"/>
                <w:lang w:bidi="ar"/>
              </w:rPr>
            </w:pPr>
            <w:r>
              <w:rPr>
                <w:rFonts w:ascii="宋体" w:hAnsi="宋体" w:cs="宋体"/>
                <w:kern w:val="0"/>
                <w:szCs w:val="21"/>
                <w:lang w:bidi="ar"/>
              </w:rPr>
              <w:t>3</w:t>
            </w:r>
            <w:r>
              <w:rPr>
                <w:rFonts w:hint="eastAsia" w:ascii="宋体" w:hAnsi="宋体" w:cs="宋体"/>
                <w:kern w:val="0"/>
                <w:szCs w:val="21"/>
                <w:lang w:bidi="ar"/>
              </w:rPr>
              <w:t>0</w:t>
            </w:r>
          </w:p>
        </w:tc>
        <w:tc>
          <w:tcPr>
            <w:tcW w:w="4893" w:type="dxa"/>
            <w:vAlign w:val="center"/>
          </w:tcPr>
          <w:p>
            <w:pPr>
              <w:pStyle w:val="98"/>
              <w:spacing w:before="0" w:beforeAutospacing="0" w:after="0" w:afterAutospacing="0"/>
              <w:rPr>
                <w:bCs/>
                <w:color w:val="000000"/>
                <w:sz w:val="21"/>
                <w:lang w:bidi="ar"/>
              </w:rPr>
            </w:pPr>
            <w:r>
              <w:rPr>
                <w:rFonts w:hint="eastAsia"/>
                <w:bCs/>
                <w:color w:val="000000"/>
                <w:sz w:val="21"/>
                <w:lang w:bidi="ar"/>
              </w:rPr>
              <w:t>价格评分方法：</w:t>
            </w:r>
          </w:p>
          <w:p>
            <w:pPr>
              <w:pStyle w:val="98"/>
              <w:spacing w:before="0" w:beforeAutospacing="0" w:after="0" w:afterAutospacing="0"/>
              <w:rPr>
                <w:bCs/>
                <w:color w:val="000000"/>
                <w:sz w:val="21"/>
                <w:lang w:bidi="ar"/>
              </w:rPr>
            </w:pPr>
            <w:r>
              <w:rPr>
                <w:rFonts w:hint="eastAsia"/>
                <w:bCs/>
                <w:color w:val="000000"/>
                <w:sz w:val="21"/>
                <w:lang w:bidi="ar"/>
              </w:rPr>
              <w:t>1、设置含税价格最高限价</w:t>
            </w:r>
            <w:r>
              <w:rPr>
                <w:rFonts w:hint="eastAsia"/>
                <w:bCs/>
                <w:color w:val="000000"/>
                <w:sz w:val="21"/>
                <w:lang w:val="en-US" w:eastAsia="zh-CN" w:bidi="ar"/>
              </w:rPr>
              <w:t>30</w:t>
            </w:r>
            <w:r>
              <w:rPr>
                <w:rFonts w:hint="eastAsia"/>
                <w:bCs/>
                <w:color w:val="000000"/>
                <w:sz w:val="21"/>
                <w:lang w:bidi="ar"/>
              </w:rPr>
              <w:t>万元，超出限价的否决应答。</w:t>
            </w:r>
          </w:p>
          <w:p>
            <w:pPr>
              <w:pStyle w:val="98"/>
              <w:spacing w:before="0" w:beforeAutospacing="0" w:after="0" w:afterAutospacing="0"/>
              <w:rPr>
                <w:bCs/>
                <w:color w:val="000000"/>
                <w:sz w:val="21"/>
                <w:lang w:bidi="ar"/>
              </w:rPr>
            </w:pPr>
            <w:r>
              <w:rPr>
                <w:rFonts w:hint="eastAsia"/>
                <w:bCs/>
                <w:color w:val="000000"/>
                <w:sz w:val="21"/>
                <w:lang w:bidi="ar"/>
              </w:rPr>
              <w:t>2、评审价为通过初步评审的有效投标人的“投标一览表”中“含税总价”。</w:t>
            </w:r>
          </w:p>
          <w:p>
            <w:pPr>
              <w:pStyle w:val="98"/>
              <w:spacing w:before="0" w:beforeAutospacing="0" w:after="0" w:afterAutospacing="0"/>
              <w:rPr>
                <w:bCs/>
                <w:color w:val="000000"/>
                <w:sz w:val="21"/>
                <w:lang w:bidi="ar"/>
              </w:rPr>
            </w:pPr>
            <w:r>
              <w:rPr>
                <w:rFonts w:hint="eastAsia"/>
                <w:bCs/>
                <w:color w:val="000000"/>
                <w:sz w:val="21"/>
                <w:lang w:bidi="ar"/>
              </w:rPr>
              <w:t>3、以经修正的有效评审价平均值×0.9作为基准价。</w:t>
            </w:r>
          </w:p>
          <w:p>
            <w:pPr>
              <w:pStyle w:val="98"/>
              <w:spacing w:before="0" w:beforeAutospacing="0" w:after="0" w:afterAutospacing="0"/>
              <w:rPr>
                <w:bCs/>
                <w:color w:val="000000"/>
                <w:sz w:val="21"/>
                <w:lang w:bidi="ar"/>
              </w:rPr>
            </w:pPr>
            <w:r>
              <w:rPr>
                <w:rFonts w:hint="eastAsia"/>
                <w:bCs/>
                <w:color w:val="000000"/>
                <w:sz w:val="21"/>
                <w:lang w:bidi="ar"/>
              </w:rPr>
              <w:t>4、计算办法</w:t>
            </w:r>
          </w:p>
          <w:p>
            <w:pPr>
              <w:pStyle w:val="98"/>
              <w:spacing w:before="0" w:beforeAutospacing="0" w:after="0" w:afterAutospacing="0"/>
              <w:rPr>
                <w:bCs/>
                <w:color w:val="000000"/>
                <w:sz w:val="21"/>
                <w:lang w:bidi="ar"/>
              </w:rPr>
            </w:pPr>
            <w:r>
              <w:rPr>
                <w:rFonts w:hint="eastAsia"/>
                <w:bCs/>
                <w:color w:val="000000"/>
                <w:sz w:val="21"/>
                <w:lang w:bidi="ar"/>
              </w:rPr>
              <w:t>等于基准价的为满分,高于基准价的线性扣分，每高1%扣0.3分，不足1%的按比例扣分，扣完为止，低于基准价的，不扣分。最终价格得分四舍五入保留两位小数。</w:t>
            </w:r>
          </w:p>
          <w:p>
            <w:pPr>
              <w:pStyle w:val="98"/>
              <w:spacing w:before="0" w:beforeAutospacing="0" w:after="0" w:afterAutospacing="0"/>
              <w:rPr>
                <w:bCs/>
                <w:color w:val="000000"/>
                <w:sz w:val="21"/>
                <w:lang w:bidi="ar"/>
              </w:rPr>
            </w:pPr>
            <w:r>
              <w:rPr>
                <w:rFonts w:hint="eastAsia"/>
                <w:bCs/>
                <w:color w:val="000000"/>
                <w:sz w:val="21"/>
                <w:lang w:bidi="ar"/>
              </w:rPr>
              <w:t>备注：“经修正的有效评审价平均值”：投标单位家数≥5家时，为去掉有效评审价中价格排序最高的20%（含）供应商（向下</w:t>
            </w:r>
            <w:bookmarkStart w:id="162" w:name="_GoBack"/>
            <w:bookmarkEnd w:id="162"/>
            <w:r>
              <w:rPr>
                <w:rFonts w:hint="eastAsia"/>
                <w:bCs/>
                <w:color w:val="000000"/>
                <w:sz w:val="21"/>
                <w:lang w:bidi="ar"/>
              </w:rPr>
              <w:t>取整）以及价格排序最低的20%（含）供应商（向下取整）之后其它供应商评审价的算术平均值；投标单位家数＜5家时，为供应商有效评审价的算术平均值。</w:t>
            </w:r>
          </w:p>
        </w:tc>
      </w:tr>
    </w:tbl>
    <w:p/>
    <w:p>
      <w:pPr>
        <w:pStyle w:val="8"/>
        <w:rPr>
          <w:rFonts w:ascii="宋体" w:hAnsi="宋体" w:cs="宋体"/>
          <w:b/>
          <w:bCs/>
          <w:szCs w:val="21"/>
        </w:rPr>
      </w:pPr>
    </w:p>
    <w:p>
      <w:pPr>
        <w:rPr>
          <w:rFonts w:ascii="宋体" w:hAnsi="宋体" w:cs="宋体"/>
          <w:b/>
          <w:bCs/>
          <w:szCs w:val="21"/>
        </w:rPr>
      </w:pPr>
    </w:p>
    <w:p>
      <w:pPr>
        <w:widowControl/>
        <w:jc w:val="left"/>
        <w:rPr>
          <w:rFonts w:ascii="宋体" w:hAnsi="宋体" w:cs="宋体"/>
          <w:b/>
          <w:bCs/>
          <w:szCs w:val="21"/>
        </w:rPr>
      </w:pPr>
      <w:r>
        <w:rPr>
          <w:rFonts w:ascii="宋体" w:hAnsi="宋体" w:cs="宋体"/>
          <w:b/>
          <w:bCs/>
          <w:szCs w:val="21"/>
        </w:rPr>
        <w:br w:type="page"/>
      </w:r>
    </w:p>
    <w:p>
      <w:pPr>
        <w:pStyle w:val="8"/>
        <w:rPr>
          <w:rFonts w:ascii="宋体" w:hAnsi="宋体" w:cs="宋体"/>
          <w:b/>
          <w:bCs/>
          <w:szCs w:val="21"/>
        </w:rPr>
      </w:pPr>
    </w:p>
    <w:p>
      <w:pPr>
        <w:pStyle w:val="2"/>
        <w:rPr>
          <w:rFonts w:ascii="宋体" w:hAnsi="宋体" w:cs="宋体"/>
        </w:rPr>
      </w:pPr>
      <w:bookmarkStart w:id="148" w:name="_Toc32717"/>
    </w:p>
    <w:p>
      <w:pPr>
        <w:pStyle w:val="2"/>
        <w:rPr>
          <w:rFonts w:ascii="宋体" w:hAnsi="宋体" w:cs="宋体"/>
        </w:rPr>
      </w:pPr>
      <w:r>
        <w:rPr>
          <w:rFonts w:hint="eastAsia" w:ascii="宋体" w:hAnsi="宋体" w:cs="宋体"/>
        </w:rPr>
        <w:t>第七章  响应文件的组成和格式</w:t>
      </w:r>
      <w:bookmarkEnd w:id="148"/>
    </w:p>
    <w:p>
      <w:pPr>
        <w:spacing w:line="360" w:lineRule="auto"/>
        <w:jc w:val="center"/>
        <w:rPr>
          <w:rFonts w:ascii="宋体" w:hAnsi="宋体" w:cs="宋体"/>
          <w:b/>
          <w:szCs w:val="21"/>
        </w:rPr>
      </w:pPr>
      <w:r>
        <w:rPr>
          <w:rFonts w:hint="eastAsia" w:ascii="宋体" w:hAnsi="宋体" w:cs="宋体"/>
          <w:b/>
          <w:szCs w:val="21"/>
        </w:rPr>
        <w:t xml:space="preserve"> </w:t>
      </w:r>
    </w:p>
    <w:p>
      <w:pPr>
        <w:spacing w:line="360" w:lineRule="auto"/>
        <w:jc w:val="center"/>
        <w:outlineLvl w:val="0"/>
        <w:rPr>
          <w:rFonts w:ascii="宋体" w:hAnsi="宋体" w:cs="宋体"/>
          <w:b/>
          <w:szCs w:val="21"/>
        </w:rPr>
      </w:pPr>
      <w:bookmarkStart w:id="149" w:name="_Toc2523"/>
      <w:r>
        <w:rPr>
          <w:rFonts w:hint="eastAsia" w:ascii="宋体" w:hAnsi="宋体" w:cs="宋体"/>
          <w:b/>
          <w:szCs w:val="21"/>
        </w:rPr>
        <w:t>竞争性磋商响应文件</w:t>
      </w:r>
      <w:bookmarkEnd w:id="149"/>
    </w:p>
    <w:p>
      <w:pPr>
        <w:pStyle w:val="70"/>
        <w:spacing w:before="0" w:after="0"/>
        <w:ind w:firstLine="0"/>
        <w:jc w:val="center"/>
        <w:rPr>
          <w:rFonts w:ascii="宋体" w:hAnsi="宋体" w:cs="宋体"/>
          <w:b/>
          <w:bCs/>
          <w:sz w:val="21"/>
          <w:szCs w:val="21"/>
        </w:rPr>
      </w:pPr>
    </w:p>
    <w:p>
      <w:pPr>
        <w:spacing w:line="360" w:lineRule="auto"/>
        <w:ind w:firstLine="632" w:firstLineChars="300"/>
        <w:jc w:val="right"/>
        <w:rPr>
          <w:rFonts w:ascii="宋体" w:hAnsi="宋体" w:cs="宋体"/>
          <w:b/>
          <w:szCs w:val="21"/>
        </w:rPr>
      </w:pPr>
      <w:r>
        <w:rPr>
          <w:rFonts w:hint="eastAsia" w:ascii="宋体" w:hAnsi="宋体" w:cs="宋体"/>
          <w:b/>
          <w:szCs w:val="21"/>
        </w:rPr>
        <w:t>（正或副本）</w:t>
      </w:r>
    </w:p>
    <w:p>
      <w:pPr>
        <w:spacing w:line="360" w:lineRule="auto"/>
        <w:ind w:firstLine="632" w:firstLineChars="300"/>
        <w:rPr>
          <w:rFonts w:ascii="宋体" w:hAnsi="宋体" w:cs="宋体"/>
          <w:b/>
          <w:szCs w:val="21"/>
        </w:rPr>
      </w:pPr>
    </w:p>
    <w:p>
      <w:pPr>
        <w:spacing w:line="360" w:lineRule="auto"/>
        <w:ind w:firstLine="632" w:firstLineChars="300"/>
        <w:rPr>
          <w:rFonts w:ascii="宋体" w:hAnsi="宋体" w:cs="宋体"/>
          <w:b/>
          <w:szCs w:val="21"/>
        </w:rPr>
      </w:pPr>
    </w:p>
    <w:p>
      <w:pPr>
        <w:spacing w:line="360" w:lineRule="auto"/>
        <w:ind w:firstLine="632" w:firstLineChars="300"/>
        <w:rPr>
          <w:rFonts w:ascii="宋体" w:hAnsi="宋体" w:cs="宋体"/>
          <w:b/>
          <w:szCs w:val="21"/>
        </w:rPr>
      </w:pPr>
      <w:r>
        <w:rPr>
          <w:rFonts w:hint="eastAsia" w:ascii="宋体" w:hAnsi="宋体" w:cs="宋体"/>
          <w:b/>
          <w:szCs w:val="21"/>
        </w:rPr>
        <w:t>项 目 名 称：</w:t>
      </w:r>
    </w:p>
    <w:p>
      <w:pPr>
        <w:spacing w:line="360" w:lineRule="auto"/>
        <w:ind w:firstLine="632" w:firstLineChars="300"/>
        <w:rPr>
          <w:rFonts w:ascii="宋体" w:hAnsi="宋体" w:cs="宋体"/>
          <w:b/>
          <w:szCs w:val="21"/>
          <w:u w:val="single"/>
        </w:rPr>
      </w:pPr>
      <w:r>
        <w:rPr>
          <w:rFonts w:hint="eastAsia" w:ascii="宋体" w:hAnsi="宋体" w:cs="宋体"/>
          <w:b/>
          <w:szCs w:val="21"/>
        </w:rPr>
        <w:t>项 目 编 号：</w:t>
      </w:r>
    </w:p>
    <w:p>
      <w:pPr>
        <w:spacing w:line="360" w:lineRule="auto"/>
        <w:ind w:firstLine="632" w:firstLineChars="300"/>
        <w:rPr>
          <w:rFonts w:ascii="宋体" w:hAnsi="宋体" w:cs="宋体"/>
          <w:b/>
          <w:szCs w:val="21"/>
        </w:rPr>
      </w:pPr>
      <w:r>
        <w:rPr>
          <w:rFonts w:hint="eastAsia" w:ascii="宋体" w:hAnsi="宋体" w:cs="宋体"/>
          <w:b/>
          <w:szCs w:val="21"/>
        </w:rPr>
        <w:t xml:space="preserve">磋商供应商名称：               </w:t>
      </w:r>
    </w:p>
    <w:p>
      <w:pPr>
        <w:spacing w:line="360" w:lineRule="auto"/>
        <w:rPr>
          <w:rFonts w:ascii="宋体" w:hAnsi="宋体" w:cs="宋体"/>
          <w:b/>
          <w:szCs w:val="21"/>
        </w:rPr>
      </w:pPr>
      <w:r>
        <w:rPr>
          <w:rFonts w:hint="eastAsia" w:ascii="宋体" w:hAnsi="宋体" w:cs="宋体"/>
          <w:b/>
          <w:szCs w:val="21"/>
        </w:rPr>
        <w:t xml:space="preserve">      日       期：</w:t>
      </w:r>
    </w:p>
    <w:bookmarkEnd w:id="144"/>
    <w:bookmarkEnd w:id="145"/>
    <w:bookmarkEnd w:id="146"/>
    <w:p>
      <w:pPr>
        <w:pStyle w:val="4"/>
        <w:spacing w:line="360" w:lineRule="auto"/>
        <w:ind w:firstLine="0"/>
        <w:rPr>
          <w:rFonts w:ascii="宋体" w:hAnsi="宋体" w:cs="宋体"/>
          <w:b/>
          <w:szCs w:val="21"/>
        </w:rPr>
      </w:pPr>
      <w:bookmarkStart w:id="150" w:name="_Toc337816640"/>
      <w:bookmarkStart w:id="151" w:name="_Toc456102499"/>
      <w:bookmarkStart w:id="152" w:name="_Toc456102676"/>
      <w:bookmarkStart w:id="153" w:name="_Toc456102122"/>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p>
      <w:pPr>
        <w:pStyle w:val="4"/>
        <w:spacing w:line="360" w:lineRule="auto"/>
        <w:ind w:firstLine="0"/>
        <w:rPr>
          <w:rFonts w:ascii="宋体" w:hAnsi="宋体" w:cs="宋体"/>
          <w:b/>
          <w:szCs w:val="21"/>
        </w:rPr>
      </w:pPr>
    </w:p>
    <w:bookmarkEnd w:id="150"/>
    <w:bookmarkEnd w:id="151"/>
    <w:bookmarkEnd w:id="152"/>
    <w:bookmarkEnd w:id="153"/>
    <w:p>
      <w:pPr>
        <w:pStyle w:val="3"/>
        <w:tabs>
          <w:tab w:val="left" w:pos="0"/>
        </w:tabs>
        <w:rPr>
          <w:rFonts w:ascii="宋体" w:hAnsi="宋体" w:cs="宋体"/>
          <w:b w:val="0"/>
          <w:bCs/>
          <w:szCs w:val="21"/>
        </w:rPr>
      </w:pPr>
      <w:bookmarkStart w:id="154" w:name="_Toc4604"/>
      <w:r>
        <w:rPr>
          <w:rFonts w:hint="eastAsia" w:ascii="宋体" w:hAnsi="宋体" w:eastAsia="宋体" w:cs="宋体"/>
          <w:sz w:val="21"/>
          <w:szCs w:val="21"/>
        </w:rPr>
        <w:t>附件1  磋商响应函（格式）</w:t>
      </w:r>
      <w:bookmarkEnd w:id="154"/>
    </w:p>
    <w:p>
      <w:pPr>
        <w:spacing w:line="400" w:lineRule="exact"/>
        <w:rPr>
          <w:rFonts w:ascii="宋体" w:hAnsi="宋体" w:cs="宋体"/>
          <w:b/>
          <w:bCs/>
          <w:szCs w:val="21"/>
        </w:rPr>
      </w:pPr>
      <w:r>
        <w:rPr>
          <w:rFonts w:hint="eastAsia" w:ascii="宋体" w:hAnsi="宋体" w:cs="宋体"/>
          <w:b/>
          <w:bCs/>
          <w:szCs w:val="21"/>
        </w:rPr>
        <w:t xml:space="preserve">项目名称： </w:t>
      </w:r>
    </w:p>
    <w:p>
      <w:pPr>
        <w:spacing w:line="440" w:lineRule="exact"/>
        <w:rPr>
          <w:rFonts w:ascii="宋体" w:hAnsi="宋体" w:cs="宋体"/>
          <w:szCs w:val="21"/>
        </w:rPr>
      </w:pPr>
      <w:r>
        <w:rPr>
          <w:rFonts w:hint="eastAsia" w:ascii="宋体" w:hAnsi="宋体" w:cs="宋体"/>
          <w:b/>
          <w:bCs/>
          <w:szCs w:val="21"/>
        </w:rPr>
        <w:t>致：</w:t>
      </w:r>
      <w:r>
        <w:rPr>
          <w:rFonts w:hint="eastAsia" w:ascii="宋体" w:hAnsi="宋体" w:cs="宋体"/>
          <w:b/>
          <w:bCs/>
          <w:szCs w:val="21"/>
          <w:u w:val="single"/>
        </w:rPr>
        <w:t xml:space="preserve">             </w:t>
      </w:r>
      <w:r>
        <w:rPr>
          <w:rFonts w:hint="eastAsia" w:ascii="宋体" w:hAnsi="宋体" w:cs="宋体"/>
          <w:szCs w:val="21"/>
          <w:u w:val="single"/>
        </w:rPr>
        <w:t xml:space="preserve">   </w:t>
      </w:r>
    </w:p>
    <w:p>
      <w:pPr>
        <w:widowControl/>
        <w:shd w:val="clear" w:color="auto" w:fill="FFFFFF"/>
        <w:spacing w:line="360" w:lineRule="auto"/>
        <w:ind w:firstLine="420" w:firstLineChars="200"/>
        <w:jc w:val="left"/>
        <w:rPr>
          <w:rFonts w:ascii="宋体" w:hAnsi="宋体" w:cs="宋体"/>
          <w:kern w:val="0"/>
          <w:szCs w:val="21"/>
          <w:lang w:val="zh-CN"/>
        </w:rPr>
      </w:pPr>
      <w:r>
        <w:rPr>
          <w:rFonts w:hint="eastAsia" w:ascii="宋体" w:hAnsi="宋体" w:cs="宋体"/>
          <w:szCs w:val="21"/>
        </w:rPr>
        <w:t xml:space="preserve">根据贵方为 </w:t>
      </w:r>
      <w:r>
        <w:rPr>
          <w:rFonts w:hint="eastAsia" w:ascii="宋体" w:hAnsi="宋体" w:cs="宋体"/>
          <w:szCs w:val="21"/>
          <w:u w:val="single"/>
        </w:rPr>
        <w:t xml:space="preserve">  （项 目 名 称） </w:t>
      </w:r>
      <w:r>
        <w:rPr>
          <w:rFonts w:hint="eastAsia" w:ascii="宋体" w:hAnsi="宋体" w:cs="宋体"/>
          <w:szCs w:val="21"/>
        </w:rPr>
        <w:t xml:space="preserve">  </w:t>
      </w:r>
      <w:r>
        <w:rPr>
          <w:rFonts w:hint="eastAsia" w:ascii="宋体" w:hAnsi="宋体" w:cs="宋体"/>
          <w:kern w:val="0"/>
          <w:szCs w:val="21"/>
          <w:lang w:val="zh-CN"/>
        </w:rPr>
        <w:t>项目编号为：</w:t>
      </w:r>
      <w:r>
        <w:rPr>
          <w:rFonts w:hint="eastAsia" w:ascii="宋体" w:hAnsi="宋体" w:cs="宋体"/>
          <w:kern w:val="0"/>
          <w:szCs w:val="21"/>
          <w:u w:val="single"/>
        </w:rPr>
        <w:t xml:space="preserve">            </w:t>
      </w:r>
      <w:r>
        <w:rPr>
          <w:rFonts w:hint="eastAsia" w:ascii="宋体" w:hAnsi="宋体" w:cs="宋体"/>
          <w:kern w:val="0"/>
          <w:szCs w:val="21"/>
          <w:lang w:val="zh-CN"/>
        </w:rPr>
        <w:t>号磋商文件，正式授权下述签字人______________(姓名和职务)代表我方______________（</w:t>
      </w:r>
      <w:r>
        <w:rPr>
          <w:rFonts w:hint="eastAsia" w:ascii="宋体" w:hAnsi="宋体" w:cs="宋体"/>
          <w:kern w:val="0"/>
          <w:szCs w:val="21"/>
        </w:rPr>
        <w:t>供应商</w:t>
      </w:r>
      <w:r>
        <w:rPr>
          <w:rFonts w:hint="eastAsia" w:ascii="宋体" w:hAnsi="宋体" w:cs="宋体"/>
          <w:kern w:val="0"/>
          <w:szCs w:val="21"/>
          <w:lang w:val="zh-CN"/>
        </w:rPr>
        <w:t>的名称），全权处理本次项目</w:t>
      </w:r>
      <w:r>
        <w:rPr>
          <w:rFonts w:hint="eastAsia" w:ascii="宋体" w:hAnsi="宋体" w:cs="宋体"/>
          <w:kern w:val="0"/>
          <w:szCs w:val="21"/>
        </w:rPr>
        <w:t>磋商</w:t>
      </w:r>
      <w:r>
        <w:rPr>
          <w:rFonts w:hint="eastAsia" w:ascii="宋体" w:hAnsi="宋体" w:cs="宋体"/>
          <w:kern w:val="0"/>
          <w:szCs w:val="21"/>
          <w:lang w:val="zh-CN"/>
        </w:rPr>
        <w:t>的有关事宜。</w:t>
      </w:r>
    </w:p>
    <w:p>
      <w:pPr>
        <w:widowControl/>
        <w:shd w:val="clear" w:color="auto" w:fill="FFFFFF"/>
        <w:spacing w:line="360" w:lineRule="auto"/>
        <w:ind w:firstLine="420" w:firstLineChars="200"/>
        <w:jc w:val="left"/>
        <w:rPr>
          <w:rFonts w:ascii="宋体" w:hAnsi="宋体" w:cs="宋体"/>
          <w:kern w:val="0"/>
          <w:szCs w:val="21"/>
          <w:lang w:val="zh-CN"/>
        </w:rPr>
      </w:pPr>
      <w:r>
        <w:rPr>
          <w:rFonts w:hint="eastAsia" w:ascii="宋体" w:hAnsi="宋体" w:cs="宋体"/>
          <w:szCs w:val="21"/>
        </w:rPr>
        <w:t>据此函，签字代表宣布同意如下：</w:t>
      </w:r>
    </w:p>
    <w:p>
      <w:pPr>
        <w:autoSpaceDE w:val="0"/>
        <w:autoSpaceDN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（1）按磋商文件规定的各项要求，向</w:t>
      </w:r>
      <w:r>
        <w:rPr>
          <w:rFonts w:hint="eastAsia" w:ascii="宋体" w:hAnsi="宋体" w:cs="宋体"/>
          <w:kern w:val="0"/>
          <w:szCs w:val="21"/>
          <w:u w:val="single"/>
          <w:lang w:val="zh-CN"/>
        </w:rPr>
        <w:t xml:space="preserve">    采购单位名称     </w:t>
      </w:r>
      <w:r>
        <w:rPr>
          <w:rFonts w:hint="eastAsia" w:ascii="宋体" w:hAnsi="宋体" w:cs="宋体"/>
          <w:kern w:val="0"/>
          <w:szCs w:val="21"/>
          <w:lang w:val="zh-CN"/>
        </w:rPr>
        <w:t>提供所需</w:t>
      </w:r>
      <w:r>
        <w:rPr>
          <w:rFonts w:hint="eastAsia" w:ascii="宋体" w:hAnsi="宋体" w:cs="宋体"/>
          <w:kern w:val="0"/>
          <w:szCs w:val="21"/>
        </w:rPr>
        <w:t>货物及相关</w:t>
      </w:r>
      <w:r>
        <w:rPr>
          <w:rFonts w:hint="eastAsia" w:ascii="宋体" w:hAnsi="宋体" w:cs="宋体"/>
          <w:kern w:val="0"/>
          <w:szCs w:val="21"/>
          <w:lang w:val="zh-CN"/>
        </w:rPr>
        <w:t>服务，总报价为（大写）__________________人民币。</w:t>
      </w:r>
    </w:p>
    <w:p>
      <w:pPr>
        <w:tabs>
          <w:tab w:val="left" w:pos="980"/>
        </w:tabs>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（2）我们完全理解贵方不一定将合同授予最低报价的</w:t>
      </w:r>
      <w:r>
        <w:rPr>
          <w:rFonts w:hint="eastAsia" w:ascii="宋体" w:hAnsi="宋体" w:cs="宋体"/>
          <w:kern w:val="0"/>
          <w:szCs w:val="21"/>
        </w:rPr>
        <w:t>供应商</w:t>
      </w:r>
      <w:r>
        <w:rPr>
          <w:rFonts w:hint="eastAsia" w:ascii="宋体" w:hAnsi="宋体" w:cs="宋体"/>
          <w:kern w:val="0"/>
          <w:szCs w:val="21"/>
          <w:lang w:val="zh-CN"/>
        </w:rPr>
        <w:t>。</w:t>
      </w:r>
    </w:p>
    <w:p>
      <w:pPr>
        <w:tabs>
          <w:tab w:val="left" w:pos="980"/>
        </w:tabs>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（3）我们已详细审核全部磋商文件及其有效补充文件，我们知道必须放弃提出含糊不清或误解问题的权利。</w:t>
      </w:r>
    </w:p>
    <w:p>
      <w:pPr>
        <w:tabs>
          <w:tab w:val="left" w:pos="980"/>
        </w:tabs>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（4）我们同意从规定的</w:t>
      </w:r>
      <w:r>
        <w:rPr>
          <w:rFonts w:hint="eastAsia" w:ascii="宋体" w:hAnsi="宋体" w:cs="宋体"/>
          <w:kern w:val="0"/>
          <w:szCs w:val="21"/>
        </w:rPr>
        <w:t>响应文件开启之</w:t>
      </w:r>
      <w:r>
        <w:rPr>
          <w:rFonts w:hint="eastAsia" w:ascii="宋体" w:hAnsi="宋体" w:cs="宋体"/>
          <w:kern w:val="0"/>
          <w:szCs w:val="21"/>
          <w:lang w:val="zh-CN"/>
        </w:rPr>
        <w:t>日起遵循本</w:t>
      </w:r>
      <w:r>
        <w:rPr>
          <w:rFonts w:hint="eastAsia" w:ascii="宋体" w:hAnsi="宋体" w:cs="宋体"/>
          <w:kern w:val="0"/>
          <w:szCs w:val="21"/>
        </w:rPr>
        <w:t>响应</w:t>
      </w:r>
      <w:r>
        <w:rPr>
          <w:rFonts w:hint="eastAsia" w:ascii="宋体" w:hAnsi="宋体" w:cs="宋体"/>
          <w:kern w:val="0"/>
          <w:szCs w:val="21"/>
          <w:lang w:val="zh-CN"/>
        </w:rPr>
        <w:t>文件，并在规定的有效期期满之前均具有约束力。</w:t>
      </w:r>
    </w:p>
    <w:p>
      <w:pPr>
        <w:tabs>
          <w:tab w:val="left" w:pos="980"/>
        </w:tabs>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（5）如果在</w:t>
      </w:r>
      <w:r>
        <w:rPr>
          <w:rFonts w:hint="eastAsia" w:ascii="宋体" w:hAnsi="宋体" w:cs="宋体"/>
          <w:kern w:val="0"/>
          <w:szCs w:val="21"/>
        </w:rPr>
        <w:t>响应文件开启</w:t>
      </w:r>
      <w:r>
        <w:rPr>
          <w:rFonts w:hint="eastAsia" w:ascii="宋体" w:hAnsi="宋体" w:cs="宋体"/>
          <w:kern w:val="0"/>
          <w:szCs w:val="21"/>
          <w:lang w:val="zh-CN"/>
        </w:rPr>
        <w:t>后规定的有效期内撤回</w:t>
      </w:r>
      <w:r>
        <w:rPr>
          <w:rFonts w:hint="eastAsia" w:ascii="宋体" w:hAnsi="宋体" w:cs="宋体"/>
          <w:kern w:val="0"/>
          <w:szCs w:val="21"/>
        </w:rPr>
        <w:t>响应文件</w:t>
      </w:r>
      <w:r>
        <w:rPr>
          <w:rFonts w:hint="eastAsia" w:ascii="宋体" w:hAnsi="宋体" w:cs="宋体"/>
          <w:kern w:val="0"/>
          <w:szCs w:val="21"/>
          <w:lang w:val="zh-CN"/>
        </w:rPr>
        <w:t>或中标后拒绝签订合同，由此给采购人造成损失的，</w:t>
      </w:r>
      <w:r>
        <w:rPr>
          <w:rFonts w:hint="eastAsia" w:ascii="宋体" w:hAnsi="宋体" w:cs="宋体"/>
          <w:kern w:val="0"/>
          <w:szCs w:val="21"/>
        </w:rPr>
        <w:t>我方将</w:t>
      </w:r>
      <w:r>
        <w:rPr>
          <w:rFonts w:hint="eastAsia" w:ascii="宋体" w:hAnsi="宋体" w:cs="宋体"/>
          <w:kern w:val="0"/>
          <w:szCs w:val="21"/>
          <w:lang w:val="zh-CN"/>
        </w:rPr>
        <w:t>承担赔偿责任。</w:t>
      </w:r>
    </w:p>
    <w:p>
      <w:pPr>
        <w:tabs>
          <w:tab w:val="left" w:pos="980"/>
        </w:tabs>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（6）同意向贵方提供贵方可能另外要求的与</w:t>
      </w:r>
      <w:r>
        <w:rPr>
          <w:rFonts w:hint="eastAsia" w:ascii="宋体" w:hAnsi="宋体" w:cs="宋体"/>
          <w:kern w:val="0"/>
          <w:szCs w:val="21"/>
        </w:rPr>
        <w:t>磋商</w:t>
      </w:r>
      <w:r>
        <w:rPr>
          <w:rFonts w:hint="eastAsia" w:ascii="宋体" w:hAnsi="宋体" w:cs="宋体"/>
          <w:kern w:val="0"/>
          <w:szCs w:val="21"/>
          <w:lang w:val="zh-CN"/>
        </w:rPr>
        <w:t>有关的任何证据或资料，并保证我方已提供和将要提供的文件是真实的、准确的。</w:t>
      </w:r>
    </w:p>
    <w:p>
      <w:pPr>
        <w:autoSpaceDE w:val="0"/>
        <w:autoSpaceDN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（7）一旦我方中标，我方将根据磋商文件的规定，严格履行合同的责任和义务，并保证于规定的时间完成</w:t>
      </w:r>
      <w:r>
        <w:rPr>
          <w:rFonts w:hint="eastAsia" w:ascii="宋体" w:hAnsi="宋体" w:cs="宋体"/>
          <w:szCs w:val="21"/>
        </w:rPr>
        <w:t>本</w:t>
      </w:r>
      <w:r>
        <w:rPr>
          <w:rFonts w:hint="eastAsia" w:ascii="宋体" w:hAnsi="宋体" w:cs="宋体"/>
          <w:kern w:val="0"/>
          <w:szCs w:val="21"/>
          <w:lang w:val="zh-CN"/>
        </w:rPr>
        <w:t>项目，交付买方验收。保证不将项目全部或者部分转包给第三方。</w:t>
      </w:r>
    </w:p>
    <w:p>
      <w:pPr>
        <w:tabs>
          <w:tab w:val="left" w:pos="980"/>
        </w:tabs>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（8）我们郑重声明：本单位未为此次项目提供过整体设计、规范编制或者项目管理、监理、检测等服务。</w:t>
      </w:r>
    </w:p>
    <w:p>
      <w:pPr>
        <w:tabs>
          <w:tab w:val="left" w:pos="980"/>
        </w:tabs>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（9）遵守磋商文件中要求的收费项目和标准。</w:t>
      </w:r>
    </w:p>
    <w:p>
      <w:pPr>
        <w:tabs>
          <w:tab w:val="left" w:pos="980"/>
        </w:tabs>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（10）与本</w:t>
      </w:r>
      <w:r>
        <w:rPr>
          <w:rFonts w:hint="eastAsia" w:ascii="宋体" w:hAnsi="宋体" w:cs="宋体"/>
          <w:kern w:val="0"/>
          <w:szCs w:val="21"/>
        </w:rPr>
        <w:t>次磋商</w:t>
      </w:r>
      <w:r>
        <w:rPr>
          <w:rFonts w:hint="eastAsia" w:ascii="宋体" w:hAnsi="宋体" w:cs="宋体"/>
          <w:kern w:val="0"/>
          <w:szCs w:val="21"/>
          <w:lang w:val="zh-CN"/>
        </w:rPr>
        <w:t>有关的正式通讯地址为：</w:t>
      </w:r>
    </w:p>
    <w:p>
      <w:pPr>
        <w:spacing w:line="440" w:lineRule="exact"/>
        <w:ind w:firstLine="515"/>
        <w:rPr>
          <w:rFonts w:ascii="宋体" w:hAnsi="宋体" w:cs="宋体"/>
          <w:szCs w:val="21"/>
          <w:u w:val="single"/>
        </w:rPr>
      </w:pPr>
      <w:r>
        <w:rPr>
          <w:rFonts w:hint="eastAsia" w:ascii="宋体" w:hAnsi="宋体" w:cs="宋体"/>
          <w:szCs w:val="21"/>
        </w:rPr>
        <w:t>供应商（公章）：</w:t>
      </w:r>
      <w:r>
        <w:rPr>
          <w:rFonts w:hint="eastAsia" w:ascii="宋体" w:hAnsi="宋体" w:cs="宋体"/>
          <w:szCs w:val="21"/>
          <w:u w:val="single"/>
        </w:rPr>
        <w:t xml:space="preserve">                       </w:t>
      </w:r>
    </w:p>
    <w:p>
      <w:pPr>
        <w:spacing w:line="440" w:lineRule="exact"/>
        <w:ind w:firstLine="515"/>
        <w:rPr>
          <w:rFonts w:ascii="宋体" w:hAnsi="宋体" w:cs="宋体"/>
          <w:szCs w:val="21"/>
          <w:u w:val="single"/>
        </w:rPr>
      </w:pPr>
      <w:r>
        <w:rPr>
          <w:rFonts w:hint="eastAsia" w:ascii="宋体" w:hAnsi="宋体" w:cs="宋体"/>
          <w:szCs w:val="21"/>
        </w:rPr>
        <w:t>法定代表人或授权代表（签字）：</w:t>
      </w:r>
      <w:r>
        <w:rPr>
          <w:rFonts w:hint="eastAsia" w:ascii="宋体" w:hAnsi="宋体" w:cs="宋体"/>
          <w:szCs w:val="21"/>
          <w:u w:val="single"/>
        </w:rPr>
        <w:t xml:space="preserve">             </w:t>
      </w:r>
    </w:p>
    <w:p>
      <w:pPr>
        <w:spacing w:line="440" w:lineRule="exact"/>
        <w:ind w:firstLine="515"/>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515"/>
        <w:rPr>
          <w:rFonts w:ascii="宋体" w:hAnsi="宋体" w:cs="宋体"/>
          <w:szCs w:val="21"/>
        </w:rPr>
      </w:pPr>
      <w:r>
        <w:rPr>
          <w:rFonts w:hint="eastAsia" w:ascii="宋体" w:hAnsi="宋体" w:cs="宋体"/>
          <w:szCs w:val="21"/>
        </w:rPr>
        <w:t>单位地址：</w:t>
      </w:r>
      <w:r>
        <w:rPr>
          <w:rFonts w:hint="eastAsia" w:ascii="宋体" w:hAnsi="宋体" w:cs="宋体"/>
          <w:szCs w:val="21"/>
          <w:u w:val="single"/>
        </w:rPr>
        <w:t xml:space="preserve">                          </w:t>
      </w:r>
    </w:p>
    <w:p>
      <w:pPr>
        <w:spacing w:line="440" w:lineRule="exact"/>
        <w:ind w:firstLine="515"/>
        <w:rPr>
          <w:rFonts w:ascii="宋体" w:hAnsi="宋体" w:cs="宋体"/>
          <w:szCs w:val="21"/>
        </w:rPr>
      </w:pPr>
      <w:r>
        <w:rPr>
          <w:rFonts w:hint="eastAsia" w:ascii="宋体" w:hAnsi="宋体" w:cs="宋体"/>
          <w:szCs w:val="21"/>
        </w:rPr>
        <w:t>单位开户银行及帐户：</w:t>
      </w:r>
      <w:r>
        <w:rPr>
          <w:rFonts w:hint="eastAsia" w:ascii="宋体" w:hAnsi="宋体" w:cs="宋体"/>
          <w:szCs w:val="21"/>
          <w:u w:val="single"/>
        </w:rPr>
        <w:t xml:space="preserve">                </w:t>
      </w:r>
    </w:p>
    <w:p>
      <w:pPr>
        <w:spacing w:line="440" w:lineRule="exact"/>
        <w:ind w:firstLine="515"/>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440" w:lineRule="exact"/>
        <w:ind w:firstLine="515"/>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pPr>
        <w:rPr>
          <w:rFonts w:ascii="宋体" w:hAnsi="宋体" w:cs="宋体"/>
          <w:szCs w:val="21"/>
        </w:rPr>
      </w:pPr>
    </w:p>
    <w:p>
      <w:pPr>
        <w:pStyle w:val="8"/>
      </w:pPr>
    </w:p>
    <w:p>
      <w:pPr>
        <w:rPr>
          <w:rFonts w:ascii="宋体" w:hAnsi="宋体" w:cs="宋体"/>
          <w:szCs w:val="21"/>
        </w:rPr>
      </w:pPr>
    </w:p>
    <w:p>
      <w:pPr>
        <w:pStyle w:val="37"/>
      </w:pPr>
    </w:p>
    <w:p/>
    <w:p>
      <w:pPr>
        <w:widowControl/>
        <w:tabs>
          <w:tab w:val="left" w:pos="720"/>
        </w:tabs>
        <w:spacing w:after="143" w:afterLines="50" w:line="360" w:lineRule="auto"/>
        <w:jc w:val="center"/>
        <w:outlineLvl w:val="1"/>
        <w:rPr>
          <w:rFonts w:ascii="宋体" w:hAnsi="宋体" w:cs="宋体"/>
          <w:b/>
          <w:szCs w:val="21"/>
        </w:rPr>
      </w:pPr>
      <w:r>
        <w:rPr>
          <w:rFonts w:hint="eastAsia" w:ascii="宋体" w:hAnsi="宋体" w:cs="宋体"/>
          <w:b/>
          <w:szCs w:val="21"/>
        </w:rPr>
        <w:t>附件2      首次响应报价表</w:t>
      </w:r>
    </w:p>
    <w:p>
      <w:pPr>
        <w:spacing w:line="360" w:lineRule="auto"/>
        <w:ind w:firstLine="420" w:firstLineChars="200"/>
        <w:rPr>
          <w:rFonts w:ascii="宋体" w:hAnsi="宋体" w:cs="宋体"/>
          <w:szCs w:val="21"/>
        </w:rPr>
      </w:pPr>
      <w:r>
        <w:rPr>
          <w:rFonts w:hint="eastAsia" w:ascii="宋体" w:hAnsi="宋体" w:cs="宋体"/>
          <w:szCs w:val="21"/>
        </w:rPr>
        <w:t xml:space="preserve">                                                </w:t>
      </w:r>
    </w:p>
    <w:tbl>
      <w:tblPr>
        <w:tblStyle w:val="28"/>
        <w:tblW w:w="8958"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82" w:type="dxa"/>
            <w:vAlign w:val="center"/>
          </w:tcPr>
          <w:p>
            <w:pPr>
              <w:spacing w:line="360" w:lineRule="auto"/>
              <w:jc w:val="center"/>
              <w:rPr>
                <w:rFonts w:ascii="宋体" w:hAnsi="宋体" w:cs="宋体"/>
                <w:szCs w:val="21"/>
              </w:rPr>
            </w:pPr>
            <w:r>
              <w:rPr>
                <w:rFonts w:hint="eastAsia" w:ascii="宋体" w:hAnsi="宋体" w:cs="宋体"/>
                <w:szCs w:val="21"/>
              </w:rPr>
              <w:t>项目编号</w:t>
            </w:r>
          </w:p>
        </w:tc>
        <w:tc>
          <w:tcPr>
            <w:tcW w:w="7276" w:type="dxa"/>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82" w:type="dxa"/>
            <w:vAlign w:val="center"/>
          </w:tcPr>
          <w:p>
            <w:pPr>
              <w:spacing w:line="360" w:lineRule="auto"/>
              <w:jc w:val="center"/>
              <w:rPr>
                <w:rFonts w:ascii="宋体" w:hAnsi="宋体" w:cs="宋体"/>
                <w:szCs w:val="21"/>
              </w:rPr>
            </w:pPr>
            <w:r>
              <w:rPr>
                <w:rFonts w:hint="eastAsia" w:ascii="宋体" w:hAnsi="宋体" w:cs="宋体"/>
                <w:szCs w:val="21"/>
              </w:rPr>
              <w:t>投标项目名称</w:t>
            </w:r>
          </w:p>
        </w:tc>
        <w:tc>
          <w:tcPr>
            <w:tcW w:w="7276" w:type="dxa"/>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82" w:type="dxa"/>
            <w:vAlign w:val="center"/>
          </w:tcPr>
          <w:p>
            <w:pPr>
              <w:spacing w:line="360" w:lineRule="auto"/>
              <w:jc w:val="center"/>
              <w:rPr>
                <w:rFonts w:ascii="宋体" w:hAnsi="宋体" w:cs="宋体"/>
                <w:szCs w:val="21"/>
              </w:rPr>
            </w:pPr>
            <w:r>
              <w:rPr>
                <w:rFonts w:hint="eastAsia" w:ascii="宋体" w:hAnsi="宋体" w:cs="宋体"/>
                <w:szCs w:val="21"/>
              </w:rPr>
              <w:t>投标报价</w:t>
            </w:r>
          </w:p>
        </w:tc>
        <w:tc>
          <w:tcPr>
            <w:tcW w:w="7276" w:type="dxa"/>
            <w:vAlign w:val="center"/>
          </w:tcPr>
          <w:p>
            <w:pPr>
              <w:spacing w:line="360" w:lineRule="auto"/>
              <w:ind w:firstLine="420" w:firstLineChars="200"/>
              <w:jc w:val="center"/>
              <w:rPr>
                <w:rFonts w:ascii="宋体" w:hAnsi="宋体" w:cs="宋体"/>
                <w:szCs w:val="21"/>
              </w:rPr>
            </w:pPr>
            <w:r>
              <w:rPr>
                <w:rFonts w:hint="eastAsia" w:ascii="宋体" w:hAnsi="宋体" w:cs="宋体"/>
                <w:szCs w:val="21"/>
                <w:u w:val="single"/>
              </w:rPr>
              <w:t>大写：                元</w:t>
            </w:r>
            <w:r>
              <w:rPr>
                <w:rFonts w:hint="eastAsia" w:ascii="宋体" w:hAnsi="宋体" w:cs="宋体"/>
                <w:szCs w:val="21"/>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82" w:type="dxa"/>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7276" w:type="dxa"/>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82" w:type="dxa"/>
            <w:vAlign w:val="center"/>
          </w:tcPr>
          <w:p>
            <w:pPr>
              <w:spacing w:line="360" w:lineRule="auto"/>
              <w:jc w:val="center"/>
              <w:rPr>
                <w:rFonts w:ascii="宋体" w:hAnsi="宋体" w:cs="宋体"/>
                <w:szCs w:val="21"/>
              </w:rPr>
            </w:pPr>
            <w:r>
              <w:rPr>
                <w:rFonts w:hint="eastAsia" w:ascii="宋体" w:hAnsi="宋体" w:cs="宋体"/>
                <w:szCs w:val="21"/>
              </w:rPr>
              <w:t>项目负责人</w:t>
            </w:r>
          </w:p>
        </w:tc>
        <w:tc>
          <w:tcPr>
            <w:tcW w:w="7276" w:type="dxa"/>
            <w:vAlign w:val="center"/>
          </w:tcPr>
          <w:p>
            <w:pPr>
              <w:spacing w:line="360" w:lineRule="auto"/>
              <w:ind w:firstLine="420" w:firstLineChars="200"/>
              <w:jc w:val="center"/>
              <w:rPr>
                <w:rFonts w:ascii="宋体" w:hAnsi="宋体"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法定代表人或者授权代表（签字或盖章）：</w:t>
      </w:r>
    </w:p>
    <w:p>
      <w:pPr>
        <w:spacing w:line="360" w:lineRule="auto"/>
        <w:ind w:firstLine="420" w:firstLineChars="200"/>
        <w:rPr>
          <w:rFonts w:ascii="宋体" w:hAnsi="宋体" w:cs="宋体"/>
          <w:szCs w:val="21"/>
          <w:u w:val="single"/>
        </w:rPr>
      </w:pPr>
      <w:r>
        <w:rPr>
          <w:rFonts w:hint="eastAsia" w:ascii="宋体" w:hAnsi="宋体" w:cs="宋体"/>
          <w:szCs w:val="21"/>
        </w:rPr>
        <w:t>磋商供应商全称（盖章）：</w:t>
      </w:r>
    </w:p>
    <w:p>
      <w:pPr>
        <w:spacing w:line="360" w:lineRule="auto"/>
        <w:ind w:firstLine="420" w:firstLineChars="200"/>
        <w:rPr>
          <w:rFonts w:ascii="宋体" w:hAnsi="宋体" w:cs="宋体"/>
          <w:szCs w:val="21"/>
        </w:rPr>
      </w:pPr>
      <w:r>
        <w:rPr>
          <w:rFonts w:hint="eastAsia" w:ascii="宋体" w:hAnsi="宋体" w:cs="宋体"/>
          <w:szCs w:val="21"/>
        </w:rPr>
        <w:t xml:space="preserve">                                           日期：    年   月    日</w:t>
      </w:r>
    </w:p>
    <w:p>
      <w:pPr>
        <w:keepNext/>
        <w:keepLines/>
        <w:tabs>
          <w:tab w:val="left" w:pos="0"/>
        </w:tabs>
        <w:spacing w:before="260" w:after="260" w:line="360" w:lineRule="auto"/>
        <w:jc w:val="center"/>
        <w:outlineLvl w:val="1"/>
        <w:rPr>
          <w:rFonts w:ascii="宋体" w:hAnsi="宋体" w:cs="宋体"/>
          <w:b/>
          <w:szCs w:val="21"/>
        </w:rPr>
      </w:pPr>
    </w:p>
    <w:p>
      <w:pPr>
        <w:pStyle w:val="37"/>
      </w:pPr>
    </w:p>
    <w:p/>
    <w:p>
      <w:pPr>
        <w:pStyle w:val="37"/>
      </w:pPr>
    </w:p>
    <w:p/>
    <w:p>
      <w:pPr>
        <w:pStyle w:val="37"/>
      </w:pPr>
    </w:p>
    <w:p/>
    <w:p>
      <w:pPr>
        <w:pStyle w:val="37"/>
      </w:pPr>
    </w:p>
    <w:p/>
    <w:p>
      <w:pPr>
        <w:pStyle w:val="37"/>
      </w:pPr>
    </w:p>
    <w:p/>
    <w:p>
      <w:pPr>
        <w:pStyle w:val="37"/>
      </w:pPr>
    </w:p>
    <w:p/>
    <w:p>
      <w:pPr>
        <w:pStyle w:val="37"/>
      </w:pPr>
    </w:p>
    <w:p/>
    <w:p>
      <w:pPr>
        <w:widowControl/>
        <w:jc w:val="left"/>
        <w:rPr>
          <w:rFonts w:ascii="Verdana" w:hAnsi="Verdana"/>
          <w:szCs w:val="20"/>
        </w:rPr>
      </w:pPr>
      <w:r>
        <w:br w:type="page"/>
      </w:r>
    </w:p>
    <w:p>
      <w:pPr>
        <w:pStyle w:val="37"/>
      </w:pPr>
    </w:p>
    <w:p>
      <w:pPr>
        <w:pStyle w:val="3"/>
        <w:tabs>
          <w:tab w:val="left" w:pos="0"/>
        </w:tabs>
        <w:spacing w:line="360" w:lineRule="auto"/>
        <w:rPr>
          <w:rFonts w:ascii="宋体" w:hAnsi="宋体" w:eastAsia="宋体" w:cs="宋体"/>
          <w:sz w:val="21"/>
          <w:szCs w:val="21"/>
        </w:rPr>
      </w:pPr>
      <w:bookmarkStart w:id="155" w:name="_Toc32686"/>
      <w:r>
        <w:rPr>
          <w:rFonts w:hint="eastAsia" w:ascii="宋体" w:hAnsi="宋体" w:eastAsia="宋体" w:cs="宋体"/>
          <w:sz w:val="21"/>
          <w:szCs w:val="21"/>
        </w:rPr>
        <w:t>附件3      法定代表人资格证明书</w:t>
      </w:r>
      <w:bookmarkEnd w:id="155"/>
    </w:p>
    <w:p>
      <w:pPr>
        <w:pStyle w:val="93"/>
        <w:ind w:firstLine="315" w:firstLineChars="150"/>
        <w:rPr>
          <w:rFonts w:ascii="宋体" w:hAnsi="宋体" w:cs="宋体"/>
          <w:color w:val="auto"/>
          <w:sz w:val="21"/>
          <w:szCs w:val="21"/>
          <w:u w:val="single"/>
        </w:rPr>
      </w:pPr>
    </w:p>
    <w:p>
      <w:pPr>
        <w:pStyle w:val="93"/>
        <w:spacing w:line="520" w:lineRule="exact"/>
        <w:ind w:firstLine="315" w:firstLineChars="150"/>
        <w:rPr>
          <w:rFonts w:ascii="宋体" w:hAnsi="宋体" w:cs="宋体"/>
          <w:color w:val="auto"/>
          <w:sz w:val="21"/>
          <w:szCs w:val="21"/>
        </w:rPr>
      </w:pPr>
      <w:r>
        <w:rPr>
          <w:rFonts w:hint="eastAsia" w:ascii="宋体" w:hAnsi="宋体" w:cs="宋体"/>
          <w:color w:val="auto"/>
          <w:sz w:val="21"/>
          <w:szCs w:val="21"/>
          <w:u w:val="single"/>
        </w:rPr>
        <w:t>（法定代表人姓名）</w:t>
      </w:r>
      <w:r>
        <w:rPr>
          <w:rFonts w:hint="eastAsia" w:ascii="宋体" w:hAnsi="宋体" w:cs="宋体"/>
          <w:color w:val="auto"/>
          <w:sz w:val="21"/>
          <w:szCs w:val="21"/>
        </w:rPr>
        <w:t>在</w:t>
      </w:r>
      <w:r>
        <w:rPr>
          <w:rFonts w:hint="eastAsia" w:ascii="宋体" w:hAnsi="宋体" w:cs="宋体"/>
          <w:color w:val="auto"/>
          <w:sz w:val="21"/>
          <w:szCs w:val="21"/>
          <w:u w:val="single"/>
        </w:rPr>
        <w:t>（供应商名称）</w:t>
      </w:r>
      <w:r>
        <w:rPr>
          <w:rFonts w:hint="eastAsia" w:ascii="宋体" w:hAnsi="宋体" w:cs="宋体"/>
          <w:color w:val="auto"/>
          <w:sz w:val="21"/>
          <w:szCs w:val="21"/>
        </w:rPr>
        <w:t>处任</w:t>
      </w:r>
      <w:r>
        <w:rPr>
          <w:rFonts w:hint="eastAsia" w:ascii="宋体" w:hAnsi="宋体" w:cs="宋体"/>
          <w:color w:val="auto"/>
          <w:sz w:val="21"/>
          <w:szCs w:val="21"/>
          <w:u w:val="single"/>
        </w:rPr>
        <w:t>（职务名称）</w:t>
      </w:r>
      <w:r>
        <w:rPr>
          <w:rFonts w:hint="eastAsia" w:ascii="宋体" w:hAnsi="宋体" w:cs="宋体"/>
          <w:color w:val="auto"/>
          <w:sz w:val="21"/>
          <w:szCs w:val="21"/>
        </w:rPr>
        <w:t>职务，是</w:t>
      </w:r>
      <w:r>
        <w:rPr>
          <w:rFonts w:hint="eastAsia" w:ascii="宋体" w:hAnsi="宋体" w:cs="宋体"/>
          <w:color w:val="auto"/>
          <w:sz w:val="21"/>
          <w:szCs w:val="21"/>
          <w:u w:val="single"/>
        </w:rPr>
        <w:t>（供应商位名称）</w:t>
      </w:r>
      <w:r>
        <w:rPr>
          <w:rFonts w:hint="eastAsia" w:ascii="宋体" w:hAnsi="宋体" w:cs="宋体"/>
          <w:color w:val="auto"/>
          <w:sz w:val="21"/>
          <w:szCs w:val="21"/>
        </w:rPr>
        <w:t>的法定代表人。</w:t>
      </w:r>
    </w:p>
    <w:p>
      <w:pPr>
        <w:spacing w:line="400" w:lineRule="exact"/>
        <w:rPr>
          <w:rFonts w:ascii="宋体" w:hAnsi="宋体" w:cs="宋体"/>
          <w:szCs w:val="21"/>
        </w:rPr>
      </w:pPr>
    </w:p>
    <w:p>
      <w:pPr>
        <w:pStyle w:val="93"/>
        <w:ind w:firstLine="315" w:firstLineChars="150"/>
        <w:rPr>
          <w:rFonts w:ascii="宋体" w:hAnsi="宋体" w:cs="宋体"/>
          <w:color w:val="auto"/>
          <w:sz w:val="21"/>
          <w:szCs w:val="21"/>
        </w:rPr>
      </w:pPr>
    </w:p>
    <w:p>
      <w:pPr>
        <w:pStyle w:val="93"/>
        <w:spacing w:line="520" w:lineRule="exact"/>
        <w:ind w:firstLine="315" w:firstLineChars="150"/>
        <w:rPr>
          <w:rFonts w:ascii="宋体" w:hAnsi="宋体" w:cs="宋体"/>
          <w:color w:val="auto"/>
          <w:sz w:val="21"/>
          <w:szCs w:val="21"/>
        </w:rPr>
      </w:pPr>
      <w:r>
        <w:rPr>
          <w:rFonts w:hint="eastAsia" w:ascii="宋体" w:hAnsi="宋体" w:cs="宋体"/>
          <w:color w:val="auto"/>
          <w:sz w:val="21"/>
          <w:szCs w:val="21"/>
        </w:rPr>
        <w:t>特此证明。</w:t>
      </w:r>
    </w:p>
    <w:p>
      <w:pPr>
        <w:pStyle w:val="93"/>
        <w:spacing w:line="520" w:lineRule="exact"/>
        <w:ind w:firstLine="315" w:firstLineChars="150"/>
        <w:rPr>
          <w:rFonts w:ascii="宋体" w:hAnsi="宋体" w:cs="宋体"/>
          <w:color w:val="auto"/>
          <w:sz w:val="21"/>
          <w:szCs w:val="21"/>
        </w:rPr>
      </w:pPr>
      <w:r>
        <w:rPr>
          <w:rFonts w:hint="eastAsia" w:ascii="宋体" w:hAnsi="宋体" w:cs="宋体"/>
          <w:color w:val="auto"/>
          <w:sz w:val="21"/>
          <w:szCs w:val="21"/>
        </w:rPr>
        <w:t>单位名称：（公章）</w:t>
      </w:r>
    </w:p>
    <w:p>
      <w:pPr>
        <w:pStyle w:val="93"/>
        <w:spacing w:line="520" w:lineRule="exact"/>
        <w:ind w:firstLine="315" w:firstLineChars="150"/>
        <w:rPr>
          <w:rFonts w:ascii="宋体" w:hAnsi="宋体" w:cs="宋体"/>
          <w:color w:val="auto"/>
          <w:sz w:val="21"/>
          <w:szCs w:val="21"/>
        </w:rPr>
      </w:pPr>
      <w:r>
        <w:rPr>
          <w:rFonts w:hint="eastAsia" w:ascii="宋体" w:hAnsi="宋体" w:cs="宋体"/>
          <w:color w:val="auto"/>
          <w:sz w:val="21"/>
          <w:szCs w:val="21"/>
        </w:rPr>
        <w:t>日期：年月日</w:t>
      </w:r>
    </w:p>
    <w:p>
      <w:pPr>
        <w:pStyle w:val="4"/>
        <w:spacing w:line="520" w:lineRule="exact"/>
        <w:ind w:firstLine="480"/>
        <w:rPr>
          <w:rFonts w:ascii="宋体" w:hAnsi="宋体" w:cs="宋体"/>
          <w:szCs w:val="21"/>
        </w:rPr>
      </w:pPr>
      <w:r>
        <w:rPr>
          <w:rFonts w:hint="eastAsia" w:ascii="宋体" w:hAnsi="宋体" w:cs="宋体"/>
          <w:szCs w:val="21"/>
        </w:rPr>
        <w:t>说明：上述证明文件在响应文件中附有法定代表人身份证复印件（身份证两面均应复印，身份证复印件加盖公章）或护照复印件（供应商的法定代表人为外籍人士的，则提供护照复印件）时才能生效；</w:t>
      </w:r>
    </w:p>
    <w:p>
      <w:pPr>
        <w:pStyle w:val="4"/>
        <w:spacing w:line="520" w:lineRule="exact"/>
        <w:ind w:firstLine="480"/>
        <w:rPr>
          <w:rFonts w:ascii="宋体" w:hAnsi="宋体" w:cs="宋体"/>
          <w:szCs w:val="21"/>
        </w:rPr>
      </w:pPr>
    </w:p>
    <w:p>
      <w:pPr>
        <w:pStyle w:val="4"/>
        <w:spacing w:line="520" w:lineRule="exact"/>
        <w:ind w:firstLine="480"/>
        <w:rPr>
          <w:rFonts w:ascii="宋体" w:hAnsi="宋体" w:cs="宋体"/>
          <w:szCs w:val="21"/>
        </w:rPr>
      </w:pPr>
      <w:r>
        <w:rPr>
          <w:rFonts w:hint="eastAsia" w:ascii="宋体" w:hAnsi="宋体" w:cs="宋体"/>
          <w:szCs w:val="21"/>
        </w:rPr>
        <w:t>法定代表人身份证复印件（正反两面均需复印）（骑缝处加盖公章）：</w:t>
      </w:r>
    </w:p>
    <w:p>
      <w:pPr>
        <w:pStyle w:val="4"/>
        <w:ind w:firstLine="480"/>
        <w:rPr>
          <w:rFonts w:ascii="宋体" w:hAnsi="宋体" w:cs="宋体"/>
          <w:szCs w:val="21"/>
        </w:rPr>
      </w:pPr>
    </w:p>
    <w:tbl>
      <w:tblPr>
        <w:tblStyle w:val="28"/>
        <w:tblW w:w="870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649"/>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031" w:type="dxa"/>
          </w:tcPr>
          <w:p>
            <w:pPr>
              <w:pStyle w:val="4"/>
              <w:ind w:firstLine="480"/>
              <w:rPr>
                <w:rFonts w:ascii="宋体" w:hAnsi="宋体" w:cs="宋体"/>
                <w:szCs w:val="21"/>
              </w:rPr>
            </w:pPr>
          </w:p>
          <w:p>
            <w:pPr>
              <w:pStyle w:val="4"/>
              <w:ind w:firstLine="480"/>
              <w:rPr>
                <w:rFonts w:ascii="宋体" w:hAnsi="宋体" w:cs="宋体"/>
                <w:szCs w:val="21"/>
              </w:rPr>
            </w:pPr>
          </w:p>
          <w:p>
            <w:pPr>
              <w:pStyle w:val="4"/>
              <w:ind w:firstLine="480"/>
              <w:rPr>
                <w:rFonts w:ascii="宋体" w:hAnsi="宋体" w:cs="宋体"/>
                <w:szCs w:val="21"/>
              </w:rPr>
            </w:pPr>
          </w:p>
          <w:p>
            <w:pPr>
              <w:pStyle w:val="4"/>
              <w:ind w:firstLine="480"/>
              <w:rPr>
                <w:rFonts w:ascii="宋体" w:hAnsi="宋体" w:cs="宋体"/>
                <w:szCs w:val="21"/>
              </w:rPr>
            </w:pPr>
            <w:r>
              <w:rPr>
                <w:rFonts w:hint="eastAsia" w:ascii="宋体" w:hAnsi="宋体" w:cs="宋体"/>
                <w:szCs w:val="21"/>
              </w:rPr>
              <w:t>法定代表人身份证正面复印件</w:t>
            </w:r>
          </w:p>
          <w:p>
            <w:pPr>
              <w:pStyle w:val="4"/>
              <w:ind w:firstLine="480"/>
              <w:rPr>
                <w:rFonts w:ascii="宋体" w:hAnsi="宋体" w:cs="宋体"/>
                <w:szCs w:val="21"/>
              </w:rPr>
            </w:pPr>
          </w:p>
          <w:p>
            <w:pPr>
              <w:pStyle w:val="4"/>
              <w:ind w:firstLine="480"/>
              <w:rPr>
                <w:rFonts w:ascii="宋体" w:hAnsi="宋体" w:cs="宋体"/>
                <w:szCs w:val="21"/>
              </w:rPr>
            </w:pPr>
          </w:p>
          <w:p>
            <w:pPr>
              <w:pStyle w:val="4"/>
              <w:ind w:firstLine="480"/>
              <w:rPr>
                <w:rFonts w:ascii="宋体" w:hAnsi="宋体" w:cs="宋体"/>
                <w:szCs w:val="21"/>
              </w:rPr>
            </w:pPr>
          </w:p>
        </w:tc>
        <w:tc>
          <w:tcPr>
            <w:tcW w:w="649" w:type="dxa"/>
            <w:tcBorders>
              <w:top w:val="nil"/>
              <w:bottom w:val="nil"/>
            </w:tcBorders>
          </w:tcPr>
          <w:p>
            <w:pPr>
              <w:pStyle w:val="4"/>
              <w:ind w:left="621" w:firstLine="480"/>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r>
              <w:rPr>
                <w:rFonts w:hint="eastAsia" w:ascii="宋体" w:hAnsi="宋体" w:cs="宋体"/>
                <w:szCs w:val="21"/>
              </w:rPr>
              <w:t>加</w:t>
            </w:r>
          </w:p>
          <w:p>
            <w:pPr>
              <w:widowControl/>
              <w:jc w:val="left"/>
              <w:rPr>
                <w:rFonts w:ascii="宋体" w:hAnsi="宋体" w:cs="宋体"/>
                <w:szCs w:val="21"/>
              </w:rPr>
            </w:pPr>
            <w:r>
              <w:rPr>
                <w:rFonts w:hint="eastAsia" w:ascii="宋体" w:hAnsi="宋体" w:cs="宋体"/>
                <w:szCs w:val="21"/>
              </w:rPr>
              <w:t>盖</w:t>
            </w:r>
          </w:p>
          <w:p>
            <w:pPr>
              <w:widowControl/>
              <w:jc w:val="left"/>
              <w:rPr>
                <w:rFonts w:ascii="宋体" w:hAnsi="宋体" w:cs="宋体"/>
                <w:szCs w:val="21"/>
              </w:rPr>
            </w:pPr>
            <w:r>
              <w:rPr>
                <w:rFonts w:hint="eastAsia" w:ascii="宋体" w:hAnsi="宋体" w:cs="宋体"/>
                <w:szCs w:val="21"/>
              </w:rPr>
              <w:t>公</w:t>
            </w:r>
          </w:p>
          <w:p>
            <w:pPr>
              <w:widowControl/>
              <w:jc w:val="left"/>
              <w:rPr>
                <w:rFonts w:ascii="宋体" w:hAnsi="宋体" w:cs="宋体"/>
                <w:szCs w:val="21"/>
              </w:rPr>
            </w:pPr>
            <w:r>
              <w:rPr>
                <w:rFonts w:hint="eastAsia" w:ascii="宋体" w:hAnsi="宋体" w:cs="宋体"/>
                <w:szCs w:val="21"/>
              </w:rPr>
              <w:t>章</w:t>
            </w:r>
          </w:p>
          <w:p>
            <w:pPr>
              <w:widowControl/>
              <w:jc w:val="left"/>
              <w:rPr>
                <w:rFonts w:ascii="宋体" w:hAnsi="宋体" w:cs="宋体"/>
                <w:szCs w:val="21"/>
              </w:rPr>
            </w:pPr>
          </w:p>
          <w:p>
            <w:pPr>
              <w:widowControl/>
              <w:jc w:val="left"/>
              <w:rPr>
                <w:rFonts w:ascii="宋体" w:hAnsi="宋体" w:cs="宋体"/>
                <w:szCs w:val="21"/>
              </w:rPr>
            </w:pPr>
          </w:p>
          <w:p>
            <w:pPr>
              <w:pStyle w:val="4"/>
              <w:ind w:firstLine="480"/>
              <w:rPr>
                <w:rFonts w:ascii="宋体" w:hAnsi="宋体" w:cs="宋体"/>
                <w:szCs w:val="21"/>
              </w:rPr>
            </w:pPr>
          </w:p>
        </w:tc>
        <w:tc>
          <w:tcPr>
            <w:tcW w:w="4027" w:type="dxa"/>
          </w:tcPr>
          <w:p>
            <w:pPr>
              <w:pStyle w:val="4"/>
              <w:ind w:firstLine="480"/>
              <w:rPr>
                <w:rFonts w:ascii="宋体" w:hAnsi="宋体" w:cs="宋体"/>
                <w:szCs w:val="21"/>
              </w:rPr>
            </w:pPr>
          </w:p>
          <w:p>
            <w:pPr>
              <w:pStyle w:val="4"/>
              <w:ind w:firstLine="480"/>
              <w:rPr>
                <w:rFonts w:ascii="宋体" w:hAnsi="宋体" w:cs="宋体"/>
                <w:szCs w:val="21"/>
              </w:rPr>
            </w:pPr>
          </w:p>
          <w:p>
            <w:pPr>
              <w:pStyle w:val="4"/>
              <w:ind w:firstLine="480"/>
              <w:rPr>
                <w:rFonts w:ascii="宋体" w:hAnsi="宋体" w:cs="宋体"/>
                <w:szCs w:val="21"/>
              </w:rPr>
            </w:pPr>
          </w:p>
          <w:p>
            <w:pPr>
              <w:pStyle w:val="4"/>
              <w:ind w:firstLine="480"/>
              <w:rPr>
                <w:rFonts w:ascii="宋体" w:hAnsi="宋体" w:cs="宋体"/>
                <w:szCs w:val="21"/>
              </w:rPr>
            </w:pPr>
            <w:r>
              <w:rPr>
                <w:rFonts w:hint="eastAsia" w:ascii="宋体" w:hAnsi="宋体" w:cs="宋体"/>
                <w:szCs w:val="21"/>
              </w:rPr>
              <w:t>法定代表人身份证反面复印件</w:t>
            </w:r>
          </w:p>
          <w:p>
            <w:pPr>
              <w:pStyle w:val="4"/>
              <w:ind w:firstLine="1417" w:firstLineChars="675"/>
              <w:rPr>
                <w:rFonts w:ascii="宋体" w:hAnsi="宋体" w:cs="宋体"/>
                <w:szCs w:val="21"/>
              </w:rPr>
            </w:pPr>
          </w:p>
        </w:tc>
      </w:tr>
    </w:tbl>
    <w:p>
      <w:pPr>
        <w:jc w:val="left"/>
        <w:rPr>
          <w:rFonts w:ascii="宋体" w:hAnsi="宋体" w:cs="宋体"/>
          <w:szCs w:val="21"/>
        </w:rPr>
      </w:pPr>
    </w:p>
    <w:p>
      <w:pPr>
        <w:jc w:val="center"/>
        <w:outlineLvl w:val="0"/>
        <w:rPr>
          <w:rFonts w:ascii="宋体" w:hAnsi="宋体" w:cs="宋体"/>
          <w:b/>
          <w:szCs w:val="21"/>
        </w:rPr>
      </w:pPr>
      <w:r>
        <w:rPr>
          <w:rFonts w:hint="eastAsia" w:ascii="宋体" w:hAnsi="宋体" w:cs="宋体"/>
          <w:szCs w:val="21"/>
        </w:rPr>
        <w:br w:type="page"/>
      </w:r>
      <w:bookmarkStart w:id="156" w:name="_Toc31117"/>
      <w:r>
        <w:rPr>
          <w:rFonts w:hint="eastAsia" w:ascii="宋体" w:hAnsi="宋体" w:cs="宋体"/>
          <w:b/>
          <w:szCs w:val="21"/>
        </w:rPr>
        <w:t>附件4  法定代表人授权书</w:t>
      </w:r>
      <w:bookmarkEnd w:id="156"/>
    </w:p>
    <w:p>
      <w:pPr>
        <w:spacing w:line="400" w:lineRule="exact"/>
        <w:jc w:val="center"/>
        <w:rPr>
          <w:rFonts w:ascii="宋体" w:hAnsi="宋体" w:cs="宋体"/>
          <w:b/>
          <w:szCs w:val="21"/>
        </w:rPr>
      </w:pPr>
    </w:p>
    <w:p>
      <w:pPr>
        <w:spacing w:line="400" w:lineRule="exact"/>
        <w:jc w:val="center"/>
        <w:rPr>
          <w:rFonts w:ascii="宋体" w:hAnsi="宋体" w:cs="宋体"/>
          <w:b/>
          <w:szCs w:val="21"/>
        </w:rPr>
      </w:pPr>
    </w:p>
    <w:p>
      <w:pPr>
        <w:spacing w:line="400" w:lineRule="exact"/>
        <w:rPr>
          <w:rFonts w:ascii="宋体" w:hAnsi="宋体" w:cs="宋体"/>
          <w:szCs w:val="21"/>
        </w:rPr>
      </w:pPr>
      <w:r>
        <w:rPr>
          <w:rFonts w:hint="eastAsia" w:ascii="宋体" w:hAnsi="宋体" w:cs="宋体"/>
          <w:szCs w:val="21"/>
        </w:rPr>
        <w:t>__________________（采购人名称）：</w:t>
      </w:r>
    </w:p>
    <w:p>
      <w:pPr>
        <w:spacing w:line="400" w:lineRule="exact"/>
        <w:ind w:firstLine="420" w:firstLineChars="200"/>
        <w:rPr>
          <w:rFonts w:ascii="宋体" w:hAnsi="宋体" w:cs="宋体"/>
          <w:szCs w:val="21"/>
        </w:rPr>
      </w:pPr>
      <w:r>
        <w:rPr>
          <w:rFonts w:hint="eastAsia" w:ascii="宋体" w:hAnsi="宋体" w:cs="宋体"/>
          <w:szCs w:val="21"/>
        </w:rPr>
        <w:t>本授权声明：</w:t>
      </w:r>
      <w:r>
        <w:rPr>
          <w:rFonts w:hint="eastAsia" w:ascii="宋体" w:hAnsi="宋体" w:cs="宋体"/>
          <w:szCs w:val="21"/>
          <w:u w:val="single"/>
        </w:rPr>
        <w:t xml:space="preserve">                     </w:t>
      </w:r>
      <w:r>
        <w:rPr>
          <w:rFonts w:hint="eastAsia" w:ascii="宋体" w:hAnsi="宋体" w:cs="宋体"/>
          <w:szCs w:val="21"/>
        </w:rPr>
        <w:t>（供应商单位名称）</w:t>
      </w:r>
      <w:r>
        <w:rPr>
          <w:rFonts w:hint="eastAsia" w:ascii="宋体" w:hAnsi="宋体" w:cs="宋体"/>
          <w:szCs w:val="21"/>
          <w:u w:val="single"/>
        </w:rPr>
        <w:t xml:space="preserve">          </w:t>
      </w:r>
      <w:r>
        <w:rPr>
          <w:rFonts w:hint="eastAsia" w:ascii="宋体" w:hAnsi="宋体" w:cs="宋体"/>
          <w:szCs w:val="21"/>
        </w:rPr>
        <w:t>（法定代表人姓名、职务）授权</w:t>
      </w:r>
      <w:r>
        <w:rPr>
          <w:rFonts w:hint="eastAsia" w:ascii="宋体" w:hAnsi="宋体" w:cs="宋体"/>
          <w:szCs w:val="21"/>
          <w:u w:val="single"/>
        </w:rPr>
        <w:t xml:space="preserve">                        </w:t>
      </w:r>
      <w:r>
        <w:rPr>
          <w:rFonts w:hint="eastAsia" w:ascii="宋体" w:hAnsi="宋体" w:cs="宋体"/>
          <w:szCs w:val="21"/>
        </w:rPr>
        <w:t xml:space="preserve">（被委托代理人姓名、职务）为我方 “ </w:t>
      </w:r>
      <w:r>
        <w:rPr>
          <w:rFonts w:hint="eastAsia" w:ascii="宋体" w:hAnsi="宋体" w:cs="宋体"/>
          <w:szCs w:val="21"/>
          <w:u w:val="single"/>
        </w:rPr>
        <w:t xml:space="preserve">                </w:t>
      </w:r>
      <w:r>
        <w:rPr>
          <w:rFonts w:hint="eastAsia" w:ascii="宋体" w:hAnsi="宋体" w:cs="宋体"/>
          <w:szCs w:val="21"/>
        </w:rPr>
        <w:t>” 项目磋商活动的合法代表，以我方名义全权处理该项目有关磋商、签订合同以及执行合同等一切事宜。</w:t>
      </w:r>
    </w:p>
    <w:p>
      <w:pPr>
        <w:spacing w:line="400" w:lineRule="exact"/>
        <w:ind w:firstLine="420" w:firstLineChars="200"/>
        <w:rPr>
          <w:rFonts w:ascii="宋体" w:hAnsi="宋体" w:cs="宋体"/>
          <w:szCs w:val="21"/>
        </w:rPr>
      </w:pPr>
      <w:r>
        <w:rPr>
          <w:rFonts w:hint="eastAsia" w:ascii="宋体" w:hAnsi="宋体" w:cs="宋体"/>
          <w:szCs w:val="21"/>
        </w:rPr>
        <w:t>特此声明。</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法定代表人签字：</w:t>
      </w:r>
    </w:p>
    <w:p>
      <w:pPr>
        <w:spacing w:line="400" w:lineRule="exact"/>
        <w:ind w:firstLine="420" w:firstLineChars="200"/>
        <w:rPr>
          <w:rFonts w:ascii="宋体" w:hAnsi="宋体" w:cs="宋体"/>
          <w:szCs w:val="21"/>
        </w:rPr>
      </w:pPr>
      <w:r>
        <w:rPr>
          <w:rFonts w:hint="eastAsia" w:ascii="宋体" w:hAnsi="宋体" w:cs="宋体"/>
          <w:szCs w:val="21"/>
        </w:rPr>
        <w:t>授权代表签字：</w:t>
      </w:r>
    </w:p>
    <w:p>
      <w:pPr>
        <w:spacing w:line="400" w:lineRule="exact"/>
        <w:ind w:firstLine="420" w:firstLineChars="200"/>
        <w:rPr>
          <w:rFonts w:ascii="宋体" w:hAnsi="宋体" w:cs="宋体"/>
          <w:szCs w:val="21"/>
        </w:rPr>
      </w:pPr>
      <w:r>
        <w:rPr>
          <w:rFonts w:hint="eastAsia" w:ascii="宋体" w:hAnsi="宋体" w:cs="宋体"/>
          <w:szCs w:val="21"/>
        </w:rPr>
        <w:t>单位名称：（公章）</w:t>
      </w:r>
    </w:p>
    <w:p>
      <w:pPr>
        <w:spacing w:line="400" w:lineRule="exact"/>
        <w:ind w:firstLine="420" w:firstLineChars="200"/>
        <w:rPr>
          <w:rFonts w:ascii="宋体" w:hAnsi="宋体" w:cs="宋体"/>
          <w:szCs w:val="21"/>
        </w:rPr>
      </w:pPr>
      <w:r>
        <w:rPr>
          <w:rFonts w:hint="eastAsia" w:ascii="宋体" w:hAnsi="宋体" w:cs="宋体"/>
          <w:szCs w:val="21"/>
        </w:rPr>
        <w:t>日    期：</w:t>
      </w:r>
    </w:p>
    <w:p>
      <w:pPr>
        <w:spacing w:line="400" w:lineRule="exact"/>
        <w:rPr>
          <w:rFonts w:ascii="宋体" w:hAnsi="宋体" w:cs="宋体"/>
          <w:szCs w:val="21"/>
        </w:rPr>
      </w:pPr>
    </w:p>
    <w:p>
      <w:pPr>
        <w:spacing w:line="400" w:lineRule="exact"/>
        <w:rPr>
          <w:rFonts w:ascii="宋体" w:hAnsi="宋体" w:cs="宋体"/>
          <w:b/>
          <w:szCs w:val="21"/>
        </w:rPr>
      </w:pPr>
    </w:p>
    <w:p>
      <w:pPr>
        <w:spacing w:line="400" w:lineRule="exact"/>
        <w:ind w:firstLine="420" w:firstLineChars="200"/>
        <w:rPr>
          <w:rFonts w:ascii="宋体" w:hAnsi="宋体" w:cs="宋体"/>
          <w:szCs w:val="21"/>
        </w:rPr>
      </w:pPr>
      <w:r>
        <w:rPr>
          <w:rFonts w:hint="eastAsia" w:ascii="宋体" w:hAnsi="宋体" w:cs="宋体"/>
          <w:szCs w:val="21"/>
        </w:rPr>
        <w:t>说明：</w:t>
      </w:r>
    </w:p>
    <w:p>
      <w:pPr>
        <w:spacing w:line="400" w:lineRule="exact"/>
        <w:ind w:firstLine="420" w:firstLineChars="200"/>
        <w:rPr>
          <w:rFonts w:ascii="宋体" w:hAnsi="宋体" w:cs="宋体"/>
          <w:szCs w:val="21"/>
        </w:rPr>
      </w:pPr>
      <w:r>
        <w:rPr>
          <w:rFonts w:hint="eastAsia" w:ascii="宋体" w:hAnsi="宋体" w:cs="宋体"/>
          <w:szCs w:val="21"/>
        </w:rPr>
        <w:t>一、上述证明文件在响应文件中附有代理人身份证复印件（身份证两面均应复印，身份证复印件加盖公章）时才能生效；</w:t>
      </w:r>
    </w:p>
    <w:p>
      <w:pPr>
        <w:spacing w:line="400" w:lineRule="exact"/>
        <w:rPr>
          <w:rFonts w:ascii="宋体" w:hAnsi="宋体" w:cs="宋体"/>
          <w:b/>
          <w:szCs w:val="21"/>
        </w:rPr>
      </w:pPr>
    </w:p>
    <w:p>
      <w:pPr>
        <w:pStyle w:val="4"/>
        <w:ind w:firstLine="480"/>
        <w:rPr>
          <w:rFonts w:ascii="宋体" w:hAnsi="宋体" w:cs="宋体"/>
          <w:szCs w:val="21"/>
        </w:rPr>
      </w:pPr>
      <w:r>
        <w:rPr>
          <w:rFonts w:hint="eastAsia" w:ascii="宋体" w:hAnsi="宋体" w:cs="宋体"/>
          <w:szCs w:val="21"/>
        </w:rPr>
        <w:t>授权代表身份证复印件（正反两面均需复印）（骑缝处加盖公章）：</w:t>
      </w:r>
    </w:p>
    <w:p>
      <w:pPr>
        <w:pStyle w:val="4"/>
        <w:ind w:firstLine="480"/>
        <w:rPr>
          <w:rFonts w:ascii="宋体" w:hAnsi="宋体" w:cs="宋体"/>
          <w:szCs w:val="21"/>
        </w:rPr>
      </w:pPr>
    </w:p>
    <w:tbl>
      <w:tblPr>
        <w:tblStyle w:val="28"/>
        <w:tblW w:w="870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69"/>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4031" w:type="dxa"/>
          </w:tcPr>
          <w:p>
            <w:pPr>
              <w:pStyle w:val="4"/>
              <w:ind w:firstLine="480"/>
              <w:rPr>
                <w:rFonts w:ascii="宋体" w:hAnsi="宋体" w:cs="宋体"/>
                <w:szCs w:val="21"/>
              </w:rPr>
            </w:pPr>
          </w:p>
          <w:p>
            <w:pPr>
              <w:pStyle w:val="4"/>
              <w:ind w:firstLine="480"/>
              <w:rPr>
                <w:rFonts w:ascii="宋体" w:hAnsi="宋体" w:cs="宋体"/>
                <w:szCs w:val="21"/>
              </w:rPr>
            </w:pPr>
          </w:p>
          <w:p>
            <w:pPr>
              <w:pStyle w:val="4"/>
              <w:ind w:firstLine="480"/>
              <w:rPr>
                <w:rFonts w:ascii="宋体" w:hAnsi="宋体" w:cs="宋体"/>
                <w:szCs w:val="21"/>
              </w:rPr>
            </w:pPr>
          </w:p>
          <w:p>
            <w:pPr>
              <w:pStyle w:val="4"/>
              <w:ind w:firstLine="0"/>
              <w:rPr>
                <w:rFonts w:ascii="宋体" w:hAnsi="宋体" w:cs="宋体"/>
                <w:szCs w:val="21"/>
              </w:rPr>
            </w:pPr>
            <w:r>
              <w:rPr>
                <w:rFonts w:hint="eastAsia" w:ascii="宋体" w:hAnsi="宋体" w:cs="宋体"/>
                <w:szCs w:val="21"/>
              </w:rPr>
              <w:t>被委托代理人身份证正面复印件</w:t>
            </w:r>
          </w:p>
          <w:p>
            <w:pPr>
              <w:pStyle w:val="4"/>
              <w:ind w:firstLine="480"/>
              <w:rPr>
                <w:rFonts w:ascii="宋体" w:hAnsi="宋体" w:cs="宋体"/>
                <w:szCs w:val="21"/>
              </w:rPr>
            </w:pPr>
          </w:p>
        </w:tc>
        <w:tc>
          <w:tcPr>
            <w:tcW w:w="469" w:type="dxa"/>
            <w:tcBorders>
              <w:top w:val="nil"/>
              <w:bottom w:val="nil"/>
            </w:tcBorders>
          </w:tcPr>
          <w:p>
            <w:pPr>
              <w:pStyle w:val="4"/>
              <w:ind w:left="621" w:firstLine="480"/>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r>
              <w:rPr>
                <w:rFonts w:hint="eastAsia" w:ascii="宋体" w:hAnsi="宋体" w:cs="宋体"/>
                <w:szCs w:val="21"/>
              </w:rPr>
              <w:t>加</w:t>
            </w:r>
          </w:p>
          <w:p>
            <w:pPr>
              <w:widowControl/>
              <w:jc w:val="left"/>
              <w:rPr>
                <w:rFonts w:ascii="宋体" w:hAnsi="宋体" w:cs="宋体"/>
                <w:szCs w:val="21"/>
              </w:rPr>
            </w:pPr>
            <w:r>
              <w:rPr>
                <w:rFonts w:hint="eastAsia" w:ascii="宋体" w:hAnsi="宋体" w:cs="宋体"/>
                <w:szCs w:val="21"/>
              </w:rPr>
              <w:t>盖</w:t>
            </w:r>
          </w:p>
          <w:p>
            <w:pPr>
              <w:widowControl/>
              <w:jc w:val="left"/>
              <w:rPr>
                <w:rFonts w:ascii="宋体" w:hAnsi="宋体" w:cs="宋体"/>
                <w:szCs w:val="21"/>
              </w:rPr>
            </w:pPr>
            <w:r>
              <w:rPr>
                <w:rFonts w:hint="eastAsia" w:ascii="宋体" w:hAnsi="宋体" w:cs="宋体"/>
                <w:szCs w:val="21"/>
              </w:rPr>
              <w:t>公</w:t>
            </w:r>
          </w:p>
          <w:p>
            <w:pPr>
              <w:widowControl/>
              <w:jc w:val="left"/>
              <w:rPr>
                <w:rFonts w:ascii="宋体" w:hAnsi="宋体" w:cs="宋体"/>
                <w:szCs w:val="21"/>
              </w:rPr>
            </w:pPr>
            <w:r>
              <w:rPr>
                <w:rFonts w:hint="eastAsia" w:ascii="宋体" w:hAnsi="宋体" w:cs="宋体"/>
                <w:szCs w:val="21"/>
              </w:rPr>
              <w:t>章</w:t>
            </w:r>
          </w:p>
          <w:p>
            <w:pPr>
              <w:widowControl/>
              <w:jc w:val="left"/>
              <w:rPr>
                <w:rFonts w:ascii="宋体" w:hAnsi="宋体" w:cs="宋体"/>
                <w:szCs w:val="21"/>
              </w:rPr>
            </w:pPr>
          </w:p>
          <w:p>
            <w:pPr>
              <w:widowControl/>
              <w:jc w:val="left"/>
              <w:rPr>
                <w:rFonts w:ascii="宋体" w:hAnsi="宋体" w:cs="宋体"/>
                <w:szCs w:val="21"/>
              </w:rPr>
            </w:pPr>
          </w:p>
          <w:p>
            <w:pPr>
              <w:pStyle w:val="4"/>
              <w:ind w:firstLine="480"/>
              <w:rPr>
                <w:rFonts w:ascii="宋体" w:hAnsi="宋体" w:cs="宋体"/>
                <w:szCs w:val="21"/>
              </w:rPr>
            </w:pPr>
          </w:p>
        </w:tc>
        <w:tc>
          <w:tcPr>
            <w:tcW w:w="4207" w:type="dxa"/>
          </w:tcPr>
          <w:p>
            <w:pPr>
              <w:pStyle w:val="4"/>
              <w:ind w:firstLine="480"/>
              <w:rPr>
                <w:rFonts w:ascii="宋体" w:hAnsi="宋体" w:cs="宋体"/>
                <w:szCs w:val="21"/>
              </w:rPr>
            </w:pPr>
          </w:p>
          <w:p>
            <w:pPr>
              <w:pStyle w:val="4"/>
              <w:ind w:firstLine="480"/>
              <w:rPr>
                <w:rFonts w:ascii="宋体" w:hAnsi="宋体" w:cs="宋体"/>
                <w:szCs w:val="21"/>
              </w:rPr>
            </w:pPr>
          </w:p>
          <w:p>
            <w:pPr>
              <w:pStyle w:val="4"/>
              <w:ind w:firstLine="480"/>
              <w:rPr>
                <w:rFonts w:ascii="宋体" w:hAnsi="宋体" w:cs="宋体"/>
                <w:szCs w:val="21"/>
              </w:rPr>
            </w:pPr>
          </w:p>
          <w:p>
            <w:pPr>
              <w:pStyle w:val="4"/>
              <w:ind w:firstLine="480"/>
              <w:rPr>
                <w:rFonts w:ascii="宋体" w:hAnsi="宋体" w:cs="宋体"/>
                <w:szCs w:val="21"/>
              </w:rPr>
            </w:pPr>
            <w:r>
              <w:rPr>
                <w:rFonts w:hint="eastAsia" w:ascii="宋体" w:hAnsi="宋体" w:cs="宋体"/>
                <w:szCs w:val="21"/>
              </w:rPr>
              <w:t>被委托代理人身份证反面复印件</w:t>
            </w:r>
          </w:p>
          <w:p>
            <w:pPr>
              <w:pStyle w:val="4"/>
              <w:ind w:firstLine="1417" w:firstLineChars="675"/>
              <w:rPr>
                <w:rFonts w:ascii="宋体" w:hAnsi="宋体" w:cs="宋体"/>
                <w:szCs w:val="21"/>
              </w:rPr>
            </w:pPr>
          </w:p>
        </w:tc>
      </w:tr>
    </w:tbl>
    <w:p>
      <w:pPr>
        <w:spacing w:line="600" w:lineRule="exact"/>
        <w:ind w:right="105" w:rightChars="50" w:firstLine="420" w:firstLineChars="200"/>
        <w:rPr>
          <w:rFonts w:ascii="宋体" w:hAnsi="宋体" w:cs="宋体"/>
          <w:szCs w:val="21"/>
        </w:rPr>
      </w:pPr>
    </w:p>
    <w:p>
      <w:pPr>
        <w:spacing w:line="560" w:lineRule="exact"/>
        <w:jc w:val="center"/>
        <w:rPr>
          <w:rFonts w:ascii="宋体" w:hAnsi="宋体" w:cs="宋体"/>
          <w:b/>
          <w:szCs w:val="21"/>
        </w:rPr>
      </w:pPr>
    </w:p>
    <w:p>
      <w:pPr>
        <w:pStyle w:val="8"/>
        <w:rPr>
          <w:rFonts w:ascii="宋体" w:hAnsi="宋体" w:cs="宋体"/>
          <w:b/>
          <w:szCs w:val="21"/>
        </w:rPr>
      </w:pPr>
    </w:p>
    <w:p>
      <w:pPr>
        <w:rPr>
          <w:rFonts w:ascii="宋体" w:hAnsi="宋体" w:cs="宋体"/>
          <w:b/>
          <w:szCs w:val="21"/>
        </w:rPr>
      </w:pPr>
    </w:p>
    <w:p>
      <w:pPr>
        <w:pStyle w:val="8"/>
        <w:rPr>
          <w:rFonts w:ascii="宋体" w:hAnsi="宋体" w:cs="宋体"/>
          <w:b/>
          <w:szCs w:val="21"/>
        </w:rPr>
      </w:pPr>
    </w:p>
    <w:p>
      <w:pPr>
        <w:rPr>
          <w:rFonts w:ascii="宋体" w:hAnsi="宋体" w:cs="宋体"/>
          <w:b/>
          <w:szCs w:val="21"/>
        </w:rPr>
      </w:pPr>
    </w:p>
    <w:p>
      <w:bookmarkStart w:id="157" w:name="_Toc25362"/>
    </w:p>
    <w:p>
      <w:pPr>
        <w:pStyle w:val="8"/>
      </w:pPr>
    </w:p>
    <w:p/>
    <w:bookmarkEnd w:id="157"/>
    <w:p>
      <w:pPr>
        <w:widowControl/>
        <w:tabs>
          <w:tab w:val="left" w:pos="720"/>
        </w:tabs>
        <w:spacing w:after="143" w:afterLines="50" w:line="360" w:lineRule="auto"/>
        <w:jc w:val="center"/>
        <w:outlineLvl w:val="1"/>
        <w:rPr>
          <w:rFonts w:ascii="宋体" w:hAnsi="宋体" w:cs="宋体"/>
          <w:b/>
          <w:szCs w:val="21"/>
        </w:rPr>
      </w:pPr>
      <w:r>
        <w:rPr>
          <w:rFonts w:hint="eastAsia" w:ascii="宋体" w:hAnsi="宋体" w:cs="宋体"/>
          <w:b/>
          <w:szCs w:val="21"/>
        </w:rPr>
        <w:t>附件5技术、商务条款响应及偏离表</w:t>
      </w:r>
    </w:p>
    <w:tbl>
      <w:tblPr>
        <w:tblStyle w:val="28"/>
        <w:tblW w:w="8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701"/>
        <w:gridCol w:w="3118"/>
        <w:gridCol w:w="1235"/>
        <w:gridCol w:w="1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r>
              <w:rPr>
                <w:rFonts w:hint="eastAsia" w:ascii="宋体" w:hAnsi="宋体" w:cs="宋体"/>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r>
              <w:rPr>
                <w:rFonts w:hint="eastAsia" w:ascii="宋体" w:hAnsi="宋体" w:cs="宋体"/>
                <w:szCs w:val="21"/>
              </w:rPr>
              <w:t>项目</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r>
              <w:rPr>
                <w:rFonts w:hint="eastAsia" w:ascii="宋体" w:hAnsi="宋体" w:cs="宋体"/>
                <w:szCs w:val="21"/>
              </w:rPr>
              <w:t>采购要求</w:t>
            </w:r>
          </w:p>
        </w:tc>
        <w:tc>
          <w:tcPr>
            <w:tcW w:w="1235"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r>
              <w:rPr>
                <w:rFonts w:hint="eastAsia" w:ascii="宋体" w:hAnsi="宋体" w:cs="宋体"/>
                <w:szCs w:val="21"/>
              </w:rPr>
              <w:t>是否响应</w:t>
            </w:r>
          </w:p>
        </w:tc>
        <w:tc>
          <w:tcPr>
            <w:tcW w:w="1884" w:type="dxa"/>
            <w:tcBorders>
              <w:top w:val="single" w:color="auto" w:sz="4" w:space="0"/>
              <w:left w:val="single" w:color="auto" w:sz="4" w:space="0"/>
              <w:bottom w:val="single" w:color="auto" w:sz="4" w:space="0"/>
              <w:right w:val="single" w:color="auto" w:sz="4" w:space="0"/>
            </w:tcBorders>
          </w:tcPr>
          <w:p>
            <w:pPr>
              <w:snapToGrid w:val="0"/>
              <w:spacing w:before="143"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r>
              <w:rPr>
                <w:rFonts w:hint="eastAsia" w:ascii="宋体" w:hAnsi="宋体" w:cs="宋体"/>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r>
              <w:rPr>
                <w:rFonts w:hint="eastAsia" w:ascii="宋体" w:hAnsi="宋体" w:cs="宋体"/>
                <w:szCs w:val="21"/>
              </w:rPr>
              <w:t>技术要求</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r>
              <w:rPr>
                <w:rFonts w:hint="eastAsia" w:ascii="宋体" w:hAnsi="宋体" w:cs="宋体"/>
                <w:szCs w:val="21"/>
              </w:rPr>
              <w:t>响应第五章技术规范书</w:t>
            </w:r>
          </w:p>
        </w:tc>
        <w:tc>
          <w:tcPr>
            <w:tcW w:w="1235"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43"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r>
              <w:rPr>
                <w:rFonts w:ascii="宋体" w:hAnsi="宋体" w:cs="宋体"/>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r>
              <w:rPr>
                <w:rFonts w:hint="eastAsia" w:ascii="宋体" w:hAnsi="宋体" w:cs="宋体"/>
                <w:szCs w:val="21"/>
              </w:rPr>
              <w:t>服务期</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ind w:firstLine="210" w:firstLineChars="100"/>
              <w:rPr>
                <w:rFonts w:ascii="宋体" w:hAnsi="宋体" w:cs="宋体"/>
                <w:szCs w:val="21"/>
              </w:rPr>
            </w:pPr>
            <w:r>
              <w:rPr>
                <w:rFonts w:hint="eastAsia" w:ascii="宋体" w:hAnsi="宋体" w:cs="宋体"/>
                <w:szCs w:val="21"/>
              </w:rPr>
              <w:t>年</w:t>
            </w:r>
          </w:p>
        </w:tc>
        <w:tc>
          <w:tcPr>
            <w:tcW w:w="1235"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p>
        </w:tc>
        <w:tc>
          <w:tcPr>
            <w:tcW w:w="188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r>
              <w:rPr>
                <w:rFonts w:ascii="宋体" w:hAnsi="宋体" w:cs="宋体"/>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r>
              <w:rPr>
                <w:rFonts w:hint="eastAsia" w:ascii="宋体" w:hAnsi="宋体" w:cs="宋体"/>
                <w:szCs w:val="21"/>
              </w:rPr>
              <w:t>付款方式</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u w:val="single"/>
              </w:rPr>
            </w:pPr>
            <w:r>
              <w:rPr>
                <w:rFonts w:hint="eastAsia" w:ascii="宋体" w:hAnsi="宋体" w:cs="宋体"/>
                <w:szCs w:val="21"/>
              </w:rPr>
              <w:t>按磋商文件要求</w:t>
            </w:r>
          </w:p>
        </w:tc>
        <w:tc>
          <w:tcPr>
            <w:tcW w:w="1235"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p>
        </w:tc>
        <w:tc>
          <w:tcPr>
            <w:tcW w:w="188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r>
              <w:rPr>
                <w:rFonts w:ascii="宋体" w:hAnsi="宋体" w:cs="宋体"/>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r>
              <w:rPr>
                <w:rFonts w:hint="eastAsia" w:ascii="宋体" w:hAnsi="宋体" w:cs="宋体"/>
                <w:szCs w:val="21"/>
              </w:rPr>
              <w:t>投标货币</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r>
              <w:rPr>
                <w:rFonts w:hint="eastAsia" w:ascii="宋体" w:hAnsi="宋体" w:cs="宋体"/>
                <w:szCs w:val="21"/>
              </w:rPr>
              <w:t>人民币</w:t>
            </w:r>
          </w:p>
        </w:tc>
        <w:tc>
          <w:tcPr>
            <w:tcW w:w="1235"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p>
        </w:tc>
        <w:tc>
          <w:tcPr>
            <w:tcW w:w="188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jc w:val="center"/>
              <w:rPr>
                <w:rFonts w:ascii="宋体" w:hAnsi="宋体" w:cs="宋体"/>
                <w:szCs w:val="21"/>
              </w:rPr>
            </w:pPr>
            <w:r>
              <w:rPr>
                <w:rFonts w:ascii="宋体" w:hAnsi="宋体" w:cs="宋体"/>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r>
              <w:rPr>
                <w:rFonts w:hint="eastAsia" w:ascii="宋体" w:hAnsi="宋体" w:cs="宋体"/>
                <w:szCs w:val="21"/>
              </w:rPr>
              <w:t>其他</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r>
              <w:rPr>
                <w:rFonts w:hint="eastAsia" w:ascii="宋体" w:hAnsi="宋体" w:cs="宋体"/>
                <w:szCs w:val="21"/>
              </w:rPr>
              <w:t>按磋商文件要求</w:t>
            </w:r>
          </w:p>
        </w:tc>
        <w:tc>
          <w:tcPr>
            <w:tcW w:w="1235"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p>
        </w:tc>
        <w:tc>
          <w:tcPr>
            <w:tcW w:w="1884" w:type="dxa"/>
            <w:tcBorders>
              <w:top w:val="single" w:color="auto" w:sz="4" w:space="0"/>
              <w:left w:val="single" w:color="auto" w:sz="4" w:space="0"/>
              <w:bottom w:val="single" w:color="auto" w:sz="4" w:space="0"/>
              <w:right w:val="single" w:color="auto" w:sz="4" w:space="0"/>
            </w:tcBorders>
            <w:vAlign w:val="center"/>
          </w:tcPr>
          <w:p>
            <w:pPr>
              <w:snapToGrid w:val="0"/>
              <w:spacing w:before="143" w:beforeLines="50"/>
              <w:rPr>
                <w:rFonts w:ascii="宋体" w:hAnsi="宋体" w:cs="宋体"/>
                <w:szCs w:val="21"/>
              </w:rPr>
            </w:pPr>
          </w:p>
        </w:tc>
      </w:tr>
    </w:tbl>
    <w:p>
      <w:pPr>
        <w:widowControl/>
        <w:tabs>
          <w:tab w:val="left" w:pos="720"/>
        </w:tabs>
        <w:spacing w:after="143" w:afterLines="50" w:line="360" w:lineRule="auto"/>
        <w:jc w:val="center"/>
        <w:outlineLvl w:val="0"/>
        <w:rPr>
          <w:rFonts w:ascii="宋体" w:hAnsi="宋体" w:cs="宋体"/>
          <w:b/>
          <w:bCs/>
          <w:szCs w:val="21"/>
        </w:rPr>
      </w:pPr>
    </w:p>
    <w:p>
      <w:pPr>
        <w:jc w:val="center"/>
        <w:rPr>
          <w:rFonts w:ascii="宋体" w:hAnsi="宋体" w:cs="宋体"/>
          <w:szCs w:val="21"/>
        </w:rPr>
      </w:pPr>
    </w:p>
    <w:p>
      <w:pPr>
        <w:spacing w:line="500" w:lineRule="exact"/>
        <w:ind w:leftChars="-50" w:hanging="105" w:hangingChars="50"/>
        <w:rPr>
          <w:rFonts w:ascii="宋体" w:hAnsi="宋体" w:cs="宋体"/>
          <w:szCs w:val="21"/>
        </w:rPr>
      </w:pPr>
    </w:p>
    <w:p>
      <w:pPr>
        <w:spacing w:line="500" w:lineRule="exact"/>
        <w:ind w:left="105" w:leftChars="50" w:firstLine="315" w:firstLineChars="150"/>
        <w:rPr>
          <w:rFonts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ind w:leftChars="-50" w:hanging="105" w:hangingChars="50"/>
        <w:rPr>
          <w:rFonts w:ascii="宋体" w:hAnsi="宋体" w:cs="宋体"/>
          <w:szCs w:val="21"/>
        </w:rPr>
      </w:pPr>
    </w:p>
    <w:p>
      <w:pPr>
        <w:spacing w:line="500" w:lineRule="exact"/>
        <w:ind w:left="105" w:leftChars="50" w:firstLine="315" w:firstLineChars="150"/>
        <w:rPr>
          <w:rFonts w:ascii="宋体" w:hAnsi="宋体" w:cs="宋体"/>
          <w:szCs w:val="21"/>
        </w:rPr>
      </w:pPr>
      <w:r>
        <w:rPr>
          <w:rFonts w:hint="eastAsia" w:ascii="宋体" w:hAnsi="宋体" w:cs="宋体"/>
          <w:szCs w:val="21"/>
        </w:rPr>
        <w:t>法定代表人（授权代表）签字：</w:t>
      </w:r>
      <w:r>
        <w:rPr>
          <w:rFonts w:hint="eastAsia" w:ascii="宋体" w:hAnsi="宋体" w:cs="宋体"/>
          <w:szCs w:val="21"/>
          <w:u w:val="single"/>
        </w:rPr>
        <w:t xml:space="preserve">              </w:t>
      </w:r>
    </w:p>
    <w:p>
      <w:pPr>
        <w:spacing w:line="500" w:lineRule="exact"/>
        <w:ind w:hanging="315"/>
        <w:jc w:val="right"/>
        <w:rPr>
          <w:rFonts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填写说明：</w:t>
      </w:r>
    </w:p>
    <w:p>
      <w:pPr>
        <w:spacing w:line="400" w:lineRule="exact"/>
        <w:ind w:firstLine="420" w:firstLineChars="200"/>
        <w:rPr>
          <w:rFonts w:ascii="宋体" w:hAnsi="宋体" w:cs="宋体"/>
          <w:szCs w:val="21"/>
        </w:rPr>
      </w:pPr>
      <w:r>
        <w:rPr>
          <w:rFonts w:hint="eastAsia" w:ascii="宋体" w:hAnsi="宋体" w:cs="宋体"/>
          <w:szCs w:val="21"/>
        </w:rPr>
        <w:t>1、按照基本技术要求详细填列；</w:t>
      </w:r>
    </w:p>
    <w:p>
      <w:pPr>
        <w:spacing w:line="400" w:lineRule="exact"/>
        <w:ind w:firstLine="420" w:firstLineChars="200"/>
        <w:rPr>
          <w:rFonts w:ascii="宋体" w:hAnsi="宋体" w:cs="宋体"/>
          <w:szCs w:val="21"/>
        </w:rPr>
      </w:pPr>
      <w:r>
        <w:rPr>
          <w:rFonts w:hint="eastAsia" w:ascii="宋体" w:hAnsi="宋体" w:cs="宋体"/>
          <w:szCs w:val="21"/>
        </w:rPr>
        <w:t>2、行数不够，可自行添加。</w:t>
      </w:r>
    </w:p>
    <w:p>
      <w:pPr>
        <w:ind w:firstLine="420"/>
        <w:rPr>
          <w:rFonts w:ascii="宋体" w:hAnsi="宋体" w:cs="宋体"/>
          <w:bCs/>
          <w:szCs w:val="21"/>
        </w:rPr>
      </w:pPr>
    </w:p>
    <w:p>
      <w:pPr>
        <w:ind w:firstLine="420"/>
        <w:rPr>
          <w:rFonts w:ascii="宋体" w:hAnsi="宋体" w:cs="宋体"/>
          <w:bCs/>
          <w:szCs w:val="21"/>
        </w:rPr>
      </w:pPr>
    </w:p>
    <w:p>
      <w:pPr>
        <w:ind w:firstLine="420"/>
        <w:rPr>
          <w:rFonts w:ascii="宋体" w:hAnsi="宋体" w:cs="宋体"/>
          <w:bCs/>
          <w:szCs w:val="21"/>
        </w:rPr>
      </w:pPr>
    </w:p>
    <w:p>
      <w:pPr>
        <w:widowControl/>
        <w:jc w:val="left"/>
        <w:rPr>
          <w:rFonts w:ascii="宋体" w:hAnsi="宋体" w:cs="宋体"/>
          <w:bCs/>
          <w:szCs w:val="21"/>
        </w:rPr>
      </w:pPr>
      <w:r>
        <w:rPr>
          <w:rFonts w:ascii="宋体" w:hAnsi="宋体" w:cs="宋体"/>
          <w:bCs/>
          <w:szCs w:val="21"/>
        </w:rPr>
        <w:br w:type="page"/>
      </w:r>
    </w:p>
    <w:p>
      <w:pPr>
        <w:pStyle w:val="4"/>
        <w:rPr>
          <w:rFonts w:ascii="宋体" w:hAnsi="宋体" w:cs="宋体"/>
          <w:bCs/>
          <w:szCs w:val="21"/>
        </w:rPr>
      </w:pPr>
    </w:p>
    <w:p>
      <w:pPr>
        <w:jc w:val="center"/>
        <w:rPr>
          <w:rFonts w:ascii="宋体" w:hAnsi="宋体" w:cs="宋体"/>
          <w:bCs/>
          <w:szCs w:val="21"/>
        </w:rPr>
      </w:pPr>
      <w:bookmarkStart w:id="158" w:name="_Toc7415"/>
      <w:r>
        <w:rPr>
          <w:rFonts w:hint="eastAsia" w:ascii="宋体" w:hAnsi="宋体" w:cs="宋体"/>
          <w:b/>
          <w:szCs w:val="21"/>
        </w:rPr>
        <w:t>附件6</w:t>
      </w:r>
      <w:r>
        <w:rPr>
          <w:rFonts w:hint="eastAsia" w:ascii="宋体" w:hAnsi="宋体" w:cs="宋体"/>
          <w:kern w:val="0"/>
          <w:szCs w:val="21"/>
        </w:rPr>
        <w:t>：</w:t>
      </w:r>
      <w:r>
        <w:rPr>
          <w:rFonts w:hint="eastAsia" w:ascii="宋体" w:hAnsi="宋体" w:cs="宋体"/>
          <w:b/>
          <w:bCs/>
          <w:szCs w:val="21"/>
        </w:rPr>
        <w:t>具备履行合同所必需的设备和专业技术能力的证明材料（格式自定）</w:t>
      </w:r>
      <w:bookmarkEnd w:id="158"/>
    </w:p>
    <w:p>
      <w:pPr>
        <w:spacing w:line="440" w:lineRule="exact"/>
        <w:rPr>
          <w:rFonts w:ascii="宋体" w:hAnsi="宋体" w:cs="宋体"/>
          <w:b/>
          <w:szCs w:val="21"/>
        </w:rPr>
      </w:pPr>
    </w:p>
    <w:p>
      <w:pPr>
        <w:widowControl/>
        <w:jc w:val="left"/>
        <w:rPr>
          <w:rFonts w:ascii="宋体" w:hAnsi="宋体" w:cs="宋体"/>
          <w:b/>
          <w:szCs w:val="21"/>
        </w:rPr>
      </w:pPr>
      <w:r>
        <w:rPr>
          <w:rFonts w:ascii="宋体" w:hAnsi="宋体" w:cs="宋体"/>
          <w:b/>
          <w:szCs w:val="21"/>
        </w:rPr>
        <w:br w:type="page"/>
      </w:r>
    </w:p>
    <w:p>
      <w:pPr>
        <w:spacing w:line="440" w:lineRule="exact"/>
        <w:rPr>
          <w:rFonts w:ascii="宋体" w:hAnsi="宋体" w:cs="宋体"/>
          <w:b/>
          <w:szCs w:val="21"/>
        </w:rPr>
      </w:pPr>
    </w:p>
    <w:p>
      <w:pPr>
        <w:spacing w:line="440" w:lineRule="exact"/>
        <w:ind w:firstLine="1054" w:firstLineChars="500"/>
        <w:outlineLvl w:val="0"/>
        <w:rPr>
          <w:rFonts w:ascii="宋体" w:hAnsi="宋体" w:cs="宋体"/>
          <w:szCs w:val="21"/>
        </w:rPr>
      </w:pPr>
      <w:bookmarkStart w:id="159" w:name="_Toc12582"/>
      <w:r>
        <w:rPr>
          <w:rFonts w:hint="eastAsia" w:ascii="宋体" w:hAnsi="宋体" w:cs="宋体"/>
          <w:b/>
          <w:szCs w:val="21"/>
        </w:rPr>
        <w:t>附件7</w:t>
      </w:r>
      <w:r>
        <w:rPr>
          <w:rFonts w:hint="eastAsia" w:ascii="宋体" w:hAnsi="宋体" w:cs="宋体"/>
          <w:kern w:val="0"/>
          <w:szCs w:val="21"/>
        </w:rPr>
        <w:t>：</w:t>
      </w:r>
      <w:bookmarkEnd w:id="159"/>
      <w:r>
        <w:rPr>
          <w:rFonts w:hint="eastAsia" w:ascii="宋体" w:hAnsi="宋体" w:cs="宋体"/>
          <w:szCs w:val="21"/>
        </w:rPr>
        <w:t xml:space="preserve">参加政府采购活动前3年内在经营活动中没有重大违法记录的书面声明(参考格式) </w:t>
      </w:r>
    </w:p>
    <w:p>
      <w:pPr>
        <w:adjustRightInd w:val="0"/>
        <w:spacing w:line="420" w:lineRule="exact"/>
        <w:jc w:val="left"/>
        <w:textAlignment w:val="baseline"/>
        <w:rPr>
          <w:rFonts w:ascii="宋体" w:hAnsi="宋体" w:cs="宋体"/>
          <w:szCs w:val="21"/>
        </w:rPr>
      </w:pPr>
    </w:p>
    <w:p>
      <w:pPr>
        <w:adjustRightInd w:val="0"/>
        <w:spacing w:line="420" w:lineRule="exact"/>
        <w:jc w:val="center"/>
        <w:textAlignment w:val="baseline"/>
        <w:rPr>
          <w:rFonts w:ascii="宋体" w:hAnsi="宋体" w:cs="宋体"/>
          <w:b/>
          <w:szCs w:val="21"/>
        </w:rPr>
      </w:pPr>
      <w:r>
        <w:rPr>
          <w:rFonts w:hint="eastAsia" w:ascii="宋体" w:hAnsi="宋体" w:cs="宋体"/>
          <w:b/>
          <w:szCs w:val="21"/>
        </w:rPr>
        <w:t>声 明</w:t>
      </w:r>
    </w:p>
    <w:p>
      <w:pPr>
        <w:adjustRightInd w:val="0"/>
        <w:spacing w:line="420" w:lineRule="exact"/>
        <w:ind w:firstLine="415" w:firstLineChars="198"/>
        <w:jc w:val="left"/>
        <w:textAlignment w:val="baseline"/>
        <w:rPr>
          <w:rFonts w:ascii="宋体" w:hAnsi="宋体" w:cs="宋体"/>
          <w:szCs w:val="21"/>
        </w:rPr>
      </w:pPr>
      <w:r>
        <w:rPr>
          <w:rFonts w:hint="eastAsia" w:ascii="宋体" w:hAnsi="宋体" w:cs="宋体"/>
          <w:szCs w:val="21"/>
        </w:rPr>
        <w:t xml:space="preserve">我公司郑重声明：参加本次政府采购活动前3年内，我公司在经营活动中没有因违法经营受到刑事处罚或者责令停产停业、吊销许可证或者执照、较大数额罚款等行政处罚。 </w:t>
      </w:r>
    </w:p>
    <w:p>
      <w:pPr>
        <w:adjustRightInd w:val="0"/>
        <w:spacing w:line="420" w:lineRule="exact"/>
        <w:jc w:val="right"/>
        <w:textAlignment w:val="baseline"/>
        <w:rPr>
          <w:rFonts w:ascii="宋体" w:hAnsi="宋体" w:cs="宋体"/>
          <w:szCs w:val="21"/>
        </w:rPr>
      </w:pPr>
    </w:p>
    <w:p>
      <w:pPr>
        <w:adjustRightInd w:val="0"/>
        <w:spacing w:line="420" w:lineRule="exact"/>
        <w:jc w:val="right"/>
        <w:textAlignment w:val="baseline"/>
        <w:rPr>
          <w:rFonts w:ascii="宋体" w:hAnsi="宋体" w:cs="宋体"/>
          <w:szCs w:val="21"/>
        </w:rPr>
      </w:pPr>
    </w:p>
    <w:p>
      <w:pPr>
        <w:adjustRightInd w:val="0"/>
        <w:spacing w:line="420" w:lineRule="exact"/>
        <w:jc w:val="right"/>
        <w:textAlignment w:val="baseline"/>
        <w:rPr>
          <w:rFonts w:ascii="宋体" w:hAnsi="宋体" w:cs="宋体"/>
          <w:szCs w:val="21"/>
        </w:rPr>
      </w:pPr>
    </w:p>
    <w:p>
      <w:pPr>
        <w:adjustRightInd w:val="0"/>
        <w:spacing w:line="420" w:lineRule="exact"/>
        <w:jc w:val="center"/>
        <w:textAlignment w:val="baseline"/>
        <w:rPr>
          <w:rFonts w:ascii="宋体" w:hAnsi="宋体" w:cs="宋体"/>
          <w:szCs w:val="21"/>
        </w:rPr>
      </w:pPr>
      <w:r>
        <w:rPr>
          <w:rFonts w:hint="eastAsia" w:ascii="宋体" w:hAnsi="宋体" w:cs="宋体"/>
          <w:szCs w:val="21"/>
        </w:rPr>
        <w:t xml:space="preserve">                      供应商名称（公章）： </w:t>
      </w:r>
    </w:p>
    <w:p>
      <w:pPr>
        <w:adjustRightInd w:val="0"/>
        <w:spacing w:line="420" w:lineRule="exact"/>
        <w:jc w:val="right"/>
        <w:textAlignment w:val="baseline"/>
        <w:rPr>
          <w:rFonts w:ascii="宋体" w:hAnsi="宋体" w:cs="宋体"/>
          <w:szCs w:val="21"/>
        </w:rPr>
      </w:pPr>
    </w:p>
    <w:p>
      <w:pPr>
        <w:adjustRightInd w:val="0"/>
        <w:spacing w:line="420" w:lineRule="exact"/>
        <w:ind w:right="600" w:firstLine="3675" w:firstLineChars="1750"/>
        <w:jc w:val="left"/>
        <w:textAlignment w:val="baseline"/>
        <w:rPr>
          <w:rFonts w:ascii="宋体" w:hAnsi="宋体" w:cs="宋体"/>
          <w:szCs w:val="21"/>
        </w:rPr>
      </w:pPr>
      <w:r>
        <w:rPr>
          <w:rFonts w:hint="eastAsia" w:ascii="宋体" w:hAnsi="宋体" w:cs="宋体"/>
          <w:szCs w:val="21"/>
        </w:rPr>
        <w:t xml:space="preserve">法定代表人（授权代表）签字： </w:t>
      </w:r>
    </w:p>
    <w:p>
      <w:pPr>
        <w:adjustRightInd w:val="0"/>
        <w:spacing w:line="420" w:lineRule="exact"/>
        <w:jc w:val="right"/>
        <w:textAlignment w:val="baseline"/>
        <w:rPr>
          <w:rFonts w:ascii="宋体" w:hAnsi="宋体" w:cs="宋体"/>
          <w:szCs w:val="21"/>
        </w:rPr>
      </w:pPr>
    </w:p>
    <w:p>
      <w:pPr>
        <w:adjustRightInd w:val="0"/>
        <w:spacing w:line="420" w:lineRule="exact"/>
        <w:jc w:val="right"/>
        <w:textAlignment w:val="baseline"/>
        <w:rPr>
          <w:rFonts w:ascii="宋体" w:hAnsi="宋体" w:cs="宋体"/>
          <w:szCs w:val="21"/>
        </w:rPr>
      </w:pPr>
    </w:p>
    <w:p>
      <w:pPr>
        <w:adjustRightInd w:val="0"/>
        <w:spacing w:line="420" w:lineRule="exact"/>
        <w:ind w:firstLine="420" w:firstLineChars="200"/>
        <w:jc w:val="right"/>
        <w:textAlignment w:val="baseline"/>
        <w:rPr>
          <w:rFonts w:ascii="宋体" w:hAnsi="宋体"/>
          <w:sz w:val="24"/>
          <w:szCs w:val="21"/>
        </w:rPr>
      </w:pPr>
      <w:r>
        <w:rPr>
          <w:rFonts w:hint="eastAsia" w:ascii="宋体" w:hAnsi="宋体" w:cs="宋体"/>
          <w:szCs w:val="21"/>
        </w:rPr>
        <w:t xml:space="preserve">日    期：       年    月    日 </w:t>
      </w:r>
      <w:r>
        <w:rPr>
          <w:rFonts w:ascii="宋体" w:hAnsi="宋体"/>
          <w:sz w:val="24"/>
          <w:szCs w:val="21"/>
        </w:rPr>
        <w:t xml:space="preserve">                       </w:t>
      </w:r>
    </w:p>
    <w:p>
      <w:pPr>
        <w:rPr>
          <w:rFonts w:ascii="宋体" w:hAnsi="宋体"/>
        </w:rPr>
      </w:pPr>
      <w:r>
        <w:rPr>
          <w:rFonts w:ascii="宋体" w:hAnsi="宋体"/>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Verdana" w:hAnsi="Verdana"/>
          <w:szCs w:val="20"/>
        </w:rPr>
      </w:pPr>
    </w:p>
    <w:p/>
    <w:p>
      <w:pPr>
        <w:rPr>
          <w:rFonts w:ascii="Verdana" w:hAnsi="Verdana"/>
          <w:szCs w:val="20"/>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37"/>
      </w:pPr>
    </w:p>
    <w:p/>
    <w:p>
      <w:pPr>
        <w:pStyle w:val="37"/>
      </w:pPr>
    </w:p>
    <w:p>
      <w:pPr>
        <w:widowControl/>
        <w:jc w:val="left"/>
        <w:rPr>
          <w:rFonts w:ascii="宋体" w:hAnsi="宋体"/>
          <w:sz w:val="24"/>
        </w:rPr>
      </w:pPr>
      <w:r>
        <w:rPr>
          <w:rFonts w:ascii="宋体" w:hAnsi="宋体"/>
          <w:sz w:val="24"/>
        </w:rPr>
        <w:br w:type="page"/>
      </w:r>
    </w:p>
    <w:p>
      <w:pPr>
        <w:rPr>
          <w:rFonts w:ascii="宋体" w:hAnsi="宋体"/>
          <w:sz w:val="24"/>
        </w:rPr>
      </w:pPr>
    </w:p>
    <w:p>
      <w:pPr>
        <w:spacing w:line="440" w:lineRule="exact"/>
        <w:outlineLvl w:val="0"/>
        <w:rPr>
          <w:rFonts w:ascii="宋体" w:hAnsi="宋体"/>
          <w:b/>
          <w:sz w:val="24"/>
          <w:szCs w:val="21"/>
        </w:rPr>
      </w:pPr>
      <w:bookmarkStart w:id="160" w:name="_Toc8291"/>
      <w:r>
        <w:rPr>
          <w:rFonts w:hint="eastAsia" w:ascii="宋体" w:hAnsi="宋体" w:cs="宋体"/>
          <w:b/>
          <w:szCs w:val="21"/>
        </w:rPr>
        <w:t>附件8</w:t>
      </w:r>
      <w:r>
        <w:rPr>
          <w:rFonts w:hint="eastAsia" w:ascii="宋体" w:hAnsi="宋体" w:cs="宋体"/>
          <w:kern w:val="0"/>
          <w:szCs w:val="21"/>
        </w:rPr>
        <w:t>：</w:t>
      </w:r>
      <w:bookmarkEnd w:id="160"/>
      <w:bookmarkStart w:id="161" w:name="_Toc528398513"/>
    </w:p>
    <w:p>
      <w:pPr>
        <w:widowControl/>
        <w:spacing w:line="360" w:lineRule="auto"/>
        <w:ind w:firstLine="482"/>
        <w:jc w:val="center"/>
      </w:pPr>
      <w:r>
        <w:rPr>
          <w:rFonts w:hint="eastAsia" w:ascii="宋体" w:hAnsi="宋体" w:cs="宋体"/>
          <w:b/>
          <w:kern w:val="0"/>
          <w:sz w:val="24"/>
          <w:lang w:bidi="ar"/>
        </w:rPr>
        <w:t>中小企业声明函（服务类）</w:t>
      </w:r>
    </w:p>
    <w:p>
      <w:pPr>
        <w:spacing w:line="360" w:lineRule="auto"/>
        <w:ind w:firstLine="480"/>
        <w:rPr>
          <w:rFonts w:ascii="宋体" w:hAnsi="宋体" w:cs="宋体"/>
          <w:b/>
          <w:sz w:val="24"/>
        </w:rPr>
      </w:pPr>
    </w:p>
    <w:p>
      <w:pPr>
        <w:widowControl/>
        <w:spacing w:line="480" w:lineRule="auto"/>
        <w:ind w:firstLine="480"/>
      </w:pPr>
      <w:r>
        <w:rPr>
          <w:rFonts w:hint="eastAsia" w:ascii="宋体" w:hAnsi="宋体" w:cs="宋体"/>
          <w:kern w:val="0"/>
          <w:sz w:val="24"/>
          <w:lang w:bidi="ar"/>
        </w:rPr>
        <w:t>本公司郑重声明，根据《政府采购促进中小企业发展管理办法》（财库﹝2020﹞46 号）的规定，本公司参加</w:t>
      </w:r>
      <w:r>
        <w:rPr>
          <w:rFonts w:hint="eastAsia" w:ascii="宋体" w:hAnsi="宋体" w:cs="宋体"/>
          <w:i/>
          <w:kern w:val="0"/>
          <w:sz w:val="24"/>
          <w:u w:val="single"/>
          <w:lang w:bidi="ar"/>
        </w:rPr>
        <w:t>（单位名称）</w:t>
      </w:r>
      <w:r>
        <w:rPr>
          <w:rFonts w:hint="eastAsia" w:ascii="宋体" w:hAnsi="宋体" w:cs="宋体"/>
          <w:kern w:val="0"/>
          <w:sz w:val="24"/>
          <w:lang w:bidi="ar"/>
        </w:rPr>
        <w:t>的</w:t>
      </w:r>
      <w:r>
        <w:rPr>
          <w:rFonts w:hint="eastAsia" w:ascii="宋体" w:hAnsi="宋体" w:cs="宋体"/>
          <w:i/>
          <w:kern w:val="0"/>
          <w:sz w:val="24"/>
          <w:u w:val="single"/>
          <w:lang w:bidi="ar"/>
        </w:rPr>
        <w:t>（项目名称）</w:t>
      </w:r>
      <w:r>
        <w:rPr>
          <w:rFonts w:hint="eastAsia" w:ascii="宋体" w:hAnsi="宋体" w:cs="宋体"/>
          <w:kern w:val="0"/>
          <w:sz w:val="24"/>
          <w:lang w:bidi="ar"/>
        </w:rPr>
        <w:t>采购活动，服务全部由符合政策要求的中小企业承接。相关企业的具体情况如下：</w:t>
      </w:r>
    </w:p>
    <w:p>
      <w:pPr>
        <w:widowControl/>
        <w:spacing w:line="480" w:lineRule="auto"/>
        <w:ind w:firstLine="480"/>
        <w:jc w:val="left"/>
      </w:pPr>
      <w:r>
        <w:rPr>
          <w:rFonts w:hint="eastAsia" w:ascii="宋体" w:hAnsi="宋体" w:cs="宋体"/>
          <w:kern w:val="0"/>
          <w:sz w:val="24"/>
          <w:lang w:bidi="ar"/>
        </w:rPr>
        <w:t xml:space="preserve">1. </w:t>
      </w:r>
      <w:r>
        <w:rPr>
          <w:rFonts w:hint="eastAsia" w:ascii="宋体" w:hAnsi="宋体" w:cs="宋体"/>
          <w:i/>
          <w:kern w:val="0"/>
          <w:sz w:val="24"/>
          <w:u w:val="single"/>
          <w:lang w:bidi="ar"/>
        </w:rPr>
        <w:t xml:space="preserve">（标的名称） </w:t>
      </w:r>
      <w:r>
        <w:rPr>
          <w:rFonts w:hint="eastAsia" w:ascii="宋体" w:hAnsi="宋体" w:cs="宋体"/>
          <w:kern w:val="0"/>
          <w:sz w:val="24"/>
          <w:lang w:bidi="ar"/>
        </w:rPr>
        <w:t>，属于</w:t>
      </w:r>
      <w:r>
        <w:rPr>
          <w:rFonts w:hint="eastAsia" w:ascii="宋体" w:hAnsi="宋体" w:cs="宋体"/>
          <w:i/>
          <w:kern w:val="0"/>
          <w:sz w:val="24"/>
          <w:u w:val="single"/>
          <w:lang w:bidi="ar"/>
        </w:rPr>
        <w:t>（其他未列明行业）</w:t>
      </w:r>
      <w:r>
        <w:rPr>
          <w:rFonts w:hint="eastAsia" w:ascii="宋体" w:hAnsi="宋体" w:cs="宋体"/>
          <w:kern w:val="0"/>
          <w:sz w:val="24"/>
          <w:lang w:bidi="ar"/>
        </w:rPr>
        <w:t>；承接企业为</w:t>
      </w:r>
      <w:r>
        <w:rPr>
          <w:rFonts w:hint="eastAsia" w:ascii="宋体" w:hAnsi="宋体" w:cs="宋体"/>
          <w:i/>
          <w:kern w:val="0"/>
          <w:sz w:val="24"/>
          <w:u w:val="single"/>
          <w:lang w:bidi="ar"/>
        </w:rPr>
        <w:t>（企业名称）</w:t>
      </w:r>
      <w:r>
        <w:rPr>
          <w:rFonts w:hint="eastAsia" w:ascii="宋体" w:hAnsi="宋体" w:cs="宋体"/>
          <w:kern w:val="0"/>
          <w:sz w:val="24"/>
          <w:lang w:bidi="ar"/>
        </w:rPr>
        <w:t>，从业人员</w:t>
      </w:r>
      <w:r>
        <w:rPr>
          <w:rFonts w:hint="eastAsia" w:ascii="宋体" w:hAnsi="宋体" w:cs="宋体"/>
          <w:kern w:val="0"/>
          <w:sz w:val="24"/>
          <w:u w:val="single"/>
          <w:lang w:bidi="ar"/>
        </w:rPr>
        <w:t xml:space="preserve">       </w:t>
      </w:r>
      <w:r>
        <w:rPr>
          <w:rFonts w:hint="eastAsia" w:ascii="宋体" w:hAnsi="宋体" w:cs="宋体"/>
          <w:kern w:val="0"/>
          <w:sz w:val="24"/>
          <w:lang w:bidi="ar"/>
        </w:rPr>
        <w:t>人，营业收入为</w:t>
      </w:r>
      <w:r>
        <w:rPr>
          <w:rFonts w:hint="eastAsia" w:ascii="宋体" w:hAnsi="宋体" w:cs="宋体"/>
          <w:kern w:val="0"/>
          <w:sz w:val="24"/>
          <w:u w:val="single"/>
          <w:lang w:bidi="ar"/>
        </w:rPr>
        <w:t xml:space="preserve">    \  </w:t>
      </w:r>
      <w:r>
        <w:rPr>
          <w:rFonts w:hint="eastAsia" w:ascii="宋体" w:hAnsi="宋体" w:cs="宋体"/>
          <w:kern w:val="0"/>
          <w:sz w:val="24"/>
          <w:lang w:bidi="ar"/>
        </w:rPr>
        <w:t>万元，资产总额为</w:t>
      </w:r>
      <w:r>
        <w:rPr>
          <w:rFonts w:hint="eastAsia" w:ascii="宋体" w:hAnsi="宋体" w:cs="宋体"/>
          <w:kern w:val="0"/>
          <w:sz w:val="24"/>
          <w:u w:val="single"/>
          <w:lang w:bidi="ar"/>
        </w:rPr>
        <w:t xml:space="preserve">  \    </w:t>
      </w:r>
      <w:r>
        <w:rPr>
          <w:rFonts w:hint="eastAsia" w:ascii="宋体" w:hAnsi="宋体" w:cs="宋体"/>
          <w:kern w:val="0"/>
          <w:sz w:val="24"/>
          <w:lang w:bidi="ar"/>
        </w:rPr>
        <w:t>万元，属于</w:t>
      </w:r>
      <w:r>
        <w:rPr>
          <w:rFonts w:hint="eastAsia" w:ascii="宋体" w:hAnsi="宋体" w:cs="宋体"/>
          <w:i/>
          <w:kern w:val="0"/>
          <w:sz w:val="24"/>
          <w:u w:val="single"/>
          <w:lang w:bidi="ar"/>
        </w:rPr>
        <w:t>（中型企业、 小型企业、微型企业）</w:t>
      </w:r>
      <w:r>
        <w:rPr>
          <w:rFonts w:hint="eastAsia" w:ascii="宋体" w:hAnsi="宋体" w:cs="宋体"/>
          <w:kern w:val="0"/>
          <w:sz w:val="24"/>
          <w:lang w:bidi="ar"/>
        </w:rPr>
        <w:t xml:space="preserve">； </w:t>
      </w:r>
    </w:p>
    <w:p>
      <w:pPr>
        <w:widowControl/>
        <w:spacing w:line="480" w:lineRule="auto"/>
        <w:ind w:firstLine="480"/>
        <w:jc w:val="left"/>
      </w:pPr>
      <w:r>
        <w:rPr>
          <w:rFonts w:hint="eastAsia" w:ascii="宋体" w:hAnsi="宋体" w:cs="宋体"/>
          <w:kern w:val="0"/>
          <w:sz w:val="24"/>
          <w:lang w:bidi="ar"/>
        </w:rPr>
        <w:t>以上企业，不属于大企业的分支机构，不存在控股股东为大企业的情形，也不存在与大企业的负责人为同一人的情形。</w:t>
      </w:r>
    </w:p>
    <w:p>
      <w:pPr>
        <w:widowControl/>
        <w:spacing w:line="480" w:lineRule="auto"/>
        <w:ind w:firstLine="480"/>
        <w:jc w:val="left"/>
      </w:pPr>
      <w:r>
        <w:rPr>
          <w:rFonts w:hint="eastAsia" w:ascii="宋体" w:hAnsi="宋体" w:cs="宋体"/>
          <w:kern w:val="0"/>
          <w:sz w:val="24"/>
          <w:lang w:bidi="ar"/>
        </w:rPr>
        <w:t xml:space="preserve">本企业对上述声明内容的真实性负责。如有虚假，将依法承担相应责任。 </w:t>
      </w:r>
    </w:p>
    <w:p>
      <w:pPr>
        <w:widowControl/>
        <w:spacing w:line="480" w:lineRule="auto"/>
        <w:ind w:firstLine="480"/>
        <w:jc w:val="right"/>
      </w:pPr>
      <w:r>
        <w:rPr>
          <w:rFonts w:hint="eastAsia" w:ascii="宋体" w:hAnsi="宋体" w:cs="宋体"/>
          <w:kern w:val="0"/>
          <w:sz w:val="24"/>
          <w:lang w:bidi="ar"/>
        </w:rPr>
        <w:t xml:space="preserve">企业名称（盖章）： </w:t>
      </w:r>
    </w:p>
    <w:p>
      <w:pPr>
        <w:widowControl/>
        <w:spacing w:line="480" w:lineRule="auto"/>
        <w:ind w:firstLine="480"/>
        <w:jc w:val="right"/>
      </w:pPr>
      <w:r>
        <w:rPr>
          <w:rFonts w:hint="eastAsia" w:ascii="宋体" w:hAnsi="宋体" w:cs="宋体"/>
          <w:kern w:val="0"/>
          <w:sz w:val="24"/>
          <w:lang w:bidi="ar"/>
        </w:rPr>
        <w:t>日 期：</w:t>
      </w:r>
    </w:p>
    <w:p>
      <w:pPr>
        <w:widowControl/>
        <w:spacing w:line="480" w:lineRule="auto"/>
        <w:ind w:firstLine="482"/>
        <w:jc w:val="left"/>
      </w:pPr>
      <w:r>
        <w:rPr>
          <w:rFonts w:hint="eastAsia" w:ascii="宋体" w:hAnsi="宋体" w:cs="宋体"/>
          <w:b/>
          <w:bCs/>
          <w:kern w:val="0"/>
          <w:sz w:val="24"/>
          <w:lang w:bidi="ar"/>
        </w:rPr>
        <w:t>注：（1）从业人员填报上一年度数据，无上一年度数据的新成立企业可不填报。</w:t>
      </w:r>
    </w:p>
    <w:p>
      <w:pPr>
        <w:spacing w:line="360" w:lineRule="auto"/>
        <w:ind w:left="505"/>
        <w:jc w:val="left"/>
      </w:pPr>
      <w:r>
        <w:rPr>
          <w:rFonts w:hint="eastAsia" w:ascii="宋体" w:hAnsi="宋体" w:cs="宋体"/>
          <w:b/>
          <w:bCs/>
          <w:kern w:val="0"/>
          <w:sz w:val="24"/>
          <w:lang w:bidi="ar"/>
        </w:rPr>
        <w:t xml:space="preserve">    （2）</w:t>
      </w:r>
      <w:r>
        <w:rPr>
          <w:rFonts w:hint="eastAsia" w:ascii="宋体" w:hAnsi="宋体" w:cs="宋体"/>
          <w:b/>
          <w:bCs/>
          <w:sz w:val="24"/>
        </w:rPr>
        <w:t>企业类型请投标供应商参照《关于印发中小企业划型标准规定的通知》（工信部联企业[2011]300号）文件规定自行填写</w:t>
      </w:r>
      <w:r>
        <w:rPr>
          <w:rFonts w:hint="eastAsia" w:ascii="宋体" w:hAnsi="宋体" w:cs="宋体"/>
          <w:b/>
          <w:bCs/>
          <w:iCs/>
          <w:kern w:val="0"/>
          <w:sz w:val="24"/>
          <w:szCs w:val="20"/>
          <w:lang w:bidi="ar"/>
        </w:rPr>
        <w:t>。</w:t>
      </w:r>
    </w:p>
    <w:p>
      <w:pPr>
        <w:autoSpaceDE w:val="0"/>
        <w:spacing w:before="162"/>
        <w:ind w:left="1482" w:right="1677"/>
        <w:jc w:val="center"/>
        <w:rPr>
          <w:rFonts w:ascii="宋体" w:hAnsi="宋体" w:cs="宋体"/>
          <w:b/>
          <w:bCs/>
          <w:iCs/>
          <w:sz w:val="24"/>
          <w:szCs w:val="20"/>
          <w:lang w:val="zh-CN" w:bidi="zh-CN"/>
        </w:rPr>
      </w:pPr>
    </w:p>
    <w:p>
      <w:pPr>
        <w:autoSpaceDE w:val="0"/>
        <w:spacing w:before="162"/>
        <w:ind w:left="1482" w:right="1677"/>
        <w:jc w:val="center"/>
        <w:rPr>
          <w:rFonts w:ascii="宋体" w:hAnsi="宋体" w:cs="宋体"/>
          <w:b/>
          <w:bCs/>
          <w:iCs/>
          <w:sz w:val="24"/>
          <w:szCs w:val="20"/>
          <w:lang w:val="zh-CN" w:bidi="zh-CN"/>
        </w:rPr>
      </w:pPr>
    </w:p>
    <w:p>
      <w:pPr>
        <w:autoSpaceDE w:val="0"/>
        <w:spacing w:before="162"/>
        <w:ind w:left="1482" w:right="1677"/>
        <w:jc w:val="center"/>
        <w:rPr>
          <w:rFonts w:ascii="宋体" w:hAnsi="宋体" w:cs="宋体"/>
          <w:b/>
          <w:bCs/>
          <w:iCs/>
          <w:sz w:val="24"/>
          <w:szCs w:val="20"/>
          <w:lang w:val="zh-CN" w:bidi="zh-CN"/>
        </w:rPr>
      </w:pPr>
    </w:p>
    <w:p>
      <w:pPr>
        <w:autoSpaceDE w:val="0"/>
        <w:spacing w:before="162"/>
        <w:ind w:left="1482" w:right="1677"/>
        <w:jc w:val="center"/>
        <w:rPr>
          <w:rFonts w:ascii="宋体" w:hAnsi="宋体" w:cs="宋体"/>
          <w:b/>
          <w:bCs/>
          <w:iCs/>
          <w:sz w:val="24"/>
          <w:szCs w:val="20"/>
          <w:lang w:val="zh-CN" w:bidi="zh-CN"/>
        </w:rPr>
      </w:pPr>
    </w:p>
    <w:p>
      <w:pPr>
        <w:pStyle w:val="37"/>
        <w:rPr>
          <w:rFonts w:ascii="宋体" w:hAnsi="宋体" w:cs="宋体"/>
          <w:b/>
          <w:bCs/>
          <w:iCs/>
          <w:sz w:val="24"/>
          <w:lang w:val="zh-CN" w:bidi="zh-CN"/>
        </w:rPr>
      </w:pPr>
    </w:p>
    <w:p>
      <w:pPr>
        <w:rPr>
          <w:rFonts w:ascii="宋体" w:hAnsi="宋体" w:cs="宋体"/>
          <w:b/>
          <w:bCs/>
          <w:iCs/>
          <w:sz w:val="24"/>
          <w:szCs w:val="20"/>
          <w:lang w:val="zh-CN" w:bidi="zh-CN"/>
        </w:rPr>
      </w:pPr>
    </w:p>
    <w:p>
      <w:pPr>
        <w:pStyle w:val="37"/>
        <w:rPr>
          <w:rFonts w:ascii="宋体" w:hAnsi="宋体" w:cs="宋体"/>
          <w:b/>
          <w:bCs/>
          <w:iCs/>
          <w:sz w:val="24"/>
          <w:lang w:val="zh-CN" w:bidi="zh-CN"/>
        </w:rPr>
      </w:pPr>
    </w:p>
    <w:p>
      <w:pPr>
        <w:spacing w:line="440" w:lineRule="exact"/>
        <w:outlineLvl w:val="0"/>
        <w:rPr>
          <w:rFonts w:ascii="宋体" w:hAnsi="宋体"/>
          <w:b/>
          <w:sz w:val="24"/>
          <w:szCs w:val="21"/>
        </w:rPr>
      </w:pPr>
      <w:r>
        <w:rPr>
          <w:rFonts w:hint="eastAsia" w:ascii="宋体" w:hAnsi="宋体" w:cs="宋体"/>
          <w:b/>
          <w:szCs w:val="21"/>
        </w:rPr>
        <w:t>附件9</w:t>
      </w:r>
      <w:r>
        <w:rPr>
          <w:rFonts w:hint="eastAsia" w:ascii="宋体" w:hAnsi="宋体" w:cs="宋体"/>
          <w:kern w:val="0"/>
          <w:szCs w:val="21"/>
        </w:rPr>
        <w:t>：</w:t>
      </w:r>
    </w:p>
    <w:p>
      <w:pPr>
        <w:rPr>
          <w:rFonts w:ascii="宋体" w:hAnsi="宋体" w:cs="宋体"/>
          <w:b/>
          <w:bCs/>
          <w:iCs/>
          <w:sz w:val="24"/>
          <w:szCs w:val="20"/>
          <w:lang w:val="zh-CN" w:bidi="zh-CN"/>
        </w:rPr>
      </w:pPr>
    </w:p>
    <w:p>
      <w:pPr>
        <w:pStyle w:val="37"/>
        <w:rPr>
          <w:lang w:val="zh-CN"/>
        </w:rPr>
      </w:pPr>
    </w:p>
    <w:p>
      <w:pPr>
        <w:pStyle w:val="83"/>
        <w:spacing w:line="360" w:lineRule="auto"/>
        <w:ind w:left="0" w:firstLine="0"/>
        <w:jc w:val="center"/>
      </w:pPr>
      <w:r>
        <w:rPr>
          <w:rFonts w:hint="eastAsia" w:ascii="宋体" w:hAnsi="宋体" w:cs="宋体"/>
          <w:sz w:val="21"/>
          <w:szCs w:val="21"/>
        </w:rPr>
        <w:t>残疾人福利性单位声明函(非残疾人福利性单位不需提供）</w:t>
      </w:r>
    </w:p>
    <w:p>
      <w:pPr>
        <w:widowControl/>
        <w:spacing w:line="360" w:lineRule="auto"/>
        <w:ind w:firstLine="422"/>
        <w:jc w:val="center"/>
        <w:rPr>
          <w:rFonts w:ascii="宋体" w:hAnsi="宋体" w:cs="宋体"/>
          <w:b/>
          <w:bCs/>
          <w:szCs w:val="21"/>
        </w:rPr>
      </w:pPr>
    </w:p>
    <w:p>
      <w:pPr>
        <w:widowControl/>
        <w:spacing w:line="480" w:lineRule="auto"/>
        <w:ind w:firstLine="480"/>
      </w:pPr>
      <w:r>
        <w:rPr>
          <w:rFonts w:hint="eastAsia" w:ascii="宋体" w:hAnsi="宋体" w:cs="宋体"/>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号）的规定，本单位为符合条件的残疾人福利性单位，且本单位参加______单位的______项目采购活动,由本单位提供服务。 </w:t>
      </w:r>
    </w:p>
    <w:p>
      <w:pPr>
        <w:widowControl/>
        <w:spacing w:line="480" w:lineRule="auto"/>
        <w:ind w:firstLine="420"/>
      </w:pPr>
      <w:r>
        <w:rPr>
          <w:rFonts w:hint="eastAsia" w:ascii="宋体" w:hAnsi="宋体" w:cs="宋体"/>
          <w:kern w:val="0"/>
          <w:szCs w:val="21"/>
          <w:lang w:bidi="ar"/>
        </w:rPr>
        <w:t xml:space="preserve"> </w:t>
      </w:r>
    </w:p>
    <w:p>
      <w:pPr>
        <w:widowControl/>
        <w:spacing w:line="480" w:lineRule="auto"/>
        <w:ind w:firstLine="420"/>
      </w:pPr>
      <w:r>
        <w:rPr>
          <w:rFonts w:hint="eastAsia" w:ascii="宋体" w:hAnsi="宋体" w:cs="宋体"/>
          <w:kern w:val="0"/>
          <w:szCs w:val="21"/>
          <w:lang w:bidi="ar"/>
        </w:rPr>
        <w:t xml:space="preserve">本单位对上述声明的真实性负责。如有虚假，将依法承担相应责任。 </w:t>
      </w:r>
    </w:p>
    <w:p>
      <w:pPr>
        <w:widowControl/>
        <w:spacing w:line="480" w:lineRule="auto"/>
        <w:ind w:firstLine="2520"/>
      </w:pPr>
      <w:r>
        <w:rPr>
          <w:rFonts w:hint="eastAsia" w:ascii="宋体" w:hAnsi="宋体" w:cs="宋体"/>
          <w:kern w:val="0"/>
          <w:szCs w:val="21"/>
          <w:lang w:bidi="ar"/>
        </w:rPr>
        <w:t xml:space="preserve">单位名称（盖章）： </w:t>
      </w:r>
    </w:p>
    <w:p>
      <w:pPr>
        <w:widowControl/>
        <w:spacing w:line="480" w:lineRule="auto"/>
        <w:ind w:firstLine="2730"/>
      </w:pPr>
      <w:r>
        <w:rPr>
          <w:rFonts w:hint="eastAsia" w:ascii="宋体" w:hAnsi="宋体" w:cs="宋体"/>
          <w:kern w:val="0"/>
          <w:szCs w:val="21"/>
          <w:lang w:bidi="ar"/>
        </w:rPr>
        <w:t>日 期：</w:t>
      </w:r>
    </w:p>
    <w:p>
      <w:pPr>
        <w:jc w:val="center"/>
        <w:rPr>
          <w:rFonts w:ascii="宋体" w:hAnsi="宋体"/>
          <w:b/>
          <w:sz w:val="24"/>
          <w:szCs w:val="21"/>
        </w:rPr>
      </w:pPr>
    </w:p>
    <w:p>
      <w:pPr>
        <w:jc w:val="center"/>
        <w:rPr>
          <w:rFonts w:ascii="宋体" w:hAnsi="宋体"/>
          <w:b/>
          <w:sz w:val="24"/>
          <w:szCs w:val="21"/>
        </w:rPr>
      </w:pPr>
    </w:p>
    <w:bookmarkEnd w:id="161"/>
    <w:p>
      <w:pPr>
        <w:adjustRightInd w:val="0"/>
        <w:snapToGrid w:val="0"/>
        <w:spacing w:after="143" w:afterLines="50"/>
        <w:jc w:val="cente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rPr>
          <w:rFonts w:ascii="宋体" w:hAnsi="宋体"/>
          <w:b/>
          <w:szCs w:val="21"/>
        </w:rPr>
      </w:pPr>
    </w:p>
    <w:p>
      <w:pPr>
        <w:rPr>
          <w:rFonts w:ascii="宋体" w:hAnsi="宋体"/>
          <w:b/>
          <w:szCs w:val="21"/>
        </w:rPr>
      </w:pPr>
    </w:p>
    <w:p>
      <w:pPr>
        <w:pStyle w:val="37"/>
      </w:pPr>
    </w:p>
    <w:p>
      <w:pPr>
        <w:adjustRightInd w:val="0"/>
        <w:snapToGrid w:val="0"/>
        <w:spacing w:after="143" w:afterLines="50"/>
        <w:jc w:val="center"/>
        <w:rPr>
          <w:rFonts w:ascii="宋体" w:hAnsi="宋体"/>
          <w:b/>
          <w:szCs w:val="21"/>
        </w:rPr>
      </w:pPr>
      <w:r>
        <w:rPr>
          <w:rFonts w:hint="eastAsia" w:ascii="宋体" w:hAnsi="宋体"/>
          <w:b/>
          <w:szCs w:val="21"/>
        </w:rPr>
        <w:t>附件</w:t>
      </w:r>
      <w:r>
        <w:rPr>
          <w:rFonts w:ascii="宋体" w:hAnsi="宋体"/>
          <w:b/>
          <w:szCs w:val="21"/>
        </w:rPr>
        <w:t>10</w:t>
      </w:r>
      <w:r>
        <w:rPr>
          <w:rFonts w:hint="eastAsia" w:ascii="宋体" w:hAnsi="宋体"/>
          <w:b/>
          <w:szCs w:val="21"/>
        </w:rPr>
        <w:t>：</w:t>
      </w:r>
      <w:r>
        <w:rPr>
          <w:rFonts w:ascii="宋体" w:hAnsi="宋体"/>
          <w:b/>
          <w:szCs w:val="21"/>
        </w:rPr>
        <w:t>评</w:t>
      </w:r>
      <w:r>
        <w:rPr>
          <w:rFonts w:hint="eastAsia" w:ascii="宋体" w:hAnsi="宋体"/>
          <w:b/>
          <w:szCs w:val="21"/>
        </w:rPr>
        <w:t>审</w:t>
      </w:r>
      <w:r>
        <w:rPr>
          <w:rFonts w:ascii="宋体" w:hAnsi="宋体"/>
          <w:b/>
          <w:szCs w:val="21"/>
        </w:rPr>
        <w:t>要素索引表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067"/>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adjustRightInd w:val="0"/>
              <w:snapToGrid w:val="0"/>
              <w:jc w:val="center"/>
              <w:rPr>
                <w:rFonts w:ascii="宋体" w:hAnsi="宋体"/>
                <w:b/>
                <w:szCs w:val="21"/>
              </w:rPr>
            </w:pPr>
            <w:r>
              <w:rPr>
                <w:rFonts w:ascii="宋体" w:hAnsi="宋体"/>
                <w:b/>
                <w:szCs w:val="21"/>
              </w:rPr>
              <w:t>序号</w:t>
            </w:r>
          </w:p>
        </w:tc>
        <w:tc>
          <w:tcPr>
            <w:tcW w:w="6067" w:type="dxa"/>
            <w:vAlign w:val="center"/>
          </w:tcPr>
          <w:p>
            <w:pPr>
              <w:adjustRightInd w:val="0"/>
              <w:snapToGrid w:val="0"/>
              <w:jc w:val="center"/>
              <w:rPr>
                <w:rFonts w:ascii="宋体" w:hAnsi="宋体"/>
                <w:b/>
                <w:szCs w:val="21"/>
              </w:rPr>
            </w:pPr>
            <w:r>
              <w:rPr>
                <w:rFonts w:ascii="宋体" w:hAnsi="宋体"/>
                <w:b/>
                <w:szCs w:val="21"/>
              </w:rPr>
              <w:t>评审内容</w:t>
            </w:r>
          </w:p>
        </w:tc>
        <w:tc>
          <w:tcPr>
            <w:tcW w:w="1633" w:type="dxa"/>
            <w:vAlign w:val="center"/>
          </w:tcPr>
          <w:p>
            <w:pPr>
              <w:adjustRightInd w:val="0"/>
              <w:snapToGrid w:val="0"/>
              <w:jc w:val="center"/>
              <w:rPr>
                <w:rFonts w:ascii="宋体" w:hAnsi="宋体"/>
                <w:b/>
                <w:szCs w:val="21"/>
              </w:rPr>
            </w:pPr>
            <w:r>
              <w:rPr>
                <w:rFonts w:hint="eastAsia" w:ascii="宋体" w:hAnsi="宋体"/>
                <w:b/>
                <w:szCs w:val="21"/>
              </w:rPr>
              <w:t>响应</w:t>
            </w:r>
            <w:r>
              <w:rPr>
                <w:rFonts w:ascii="宋体" w:hAnsi="宋体"/>
                <w:b/>
                <w:szCs w:val="21"/>
              </w:rPr>
              <w:t>文件</w:t>
            </w:r>
          </w:p>
          <w:p>
            <w:pPr>
              <w:adjustRightInd w:val="0"/>
              <w:snapToGrid w:val="0"/>
              <w:jc w:val="center"/>
              <w:rPr>
                <w:rFonts w:ascii="宋体" w:hAnsi="宋体"/>
                <w:b/>
                <w:szCs w:val="21"/>
              </w:rPr>
            </w:pPr>
            <w:r>
              <w:rPr>
                <w:rFonts w:ascii="宋体" w:hAnsi="宋体"/>
                <w:b/>
                <w:szCs w:val="21"/>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pStyle w:val="75"/>
              <w:widowControl w:val="0"/>
              <w:adjustRightInd w:val="0"/>
              <w:snapToGrid w:val="0"/>
              <w:spacing w:before="0" w:beforeAutospacing="0" w:after="0" w:afterAutospacing="0"/>
              <w:rPr>
                <w:rFonts w:hint="default" w:ascii="宋体" w:eastAsia="宋体"/>
                <w:b/>
                <w:kern w:val="2"/>
                <w:sz w:val="21"/>
                <w:szCs w:val="21"/>
              </w:rPr>
            </w:pPr>
            <w:r>
              <w:rPr>
                <w:rFonts w:hint="default" w:ascii="宋体" w:eastAsia="宋体"/>
                <w:b/>
                <w:kern w:val="2"/>
                <w:sz w:val="21"/>
                <w:szCs w:val="21"/>
              </w:rPr>
              <w:t>一</w:t>
            </w:r>
          </w:p>
        </w:tc>
        <w:tc>
          <w:tcPr>
            <w:tcW w:w="7700" w:type="dxa"/>
            <w:gridSpan w:val="2"/>
            <w:vAlign w:val="center"/>
          </w:tcPr>
          <w:p>
            <w:pPr>
              <w:adjustRightInd w:val="0"/>
              <w:snapToGrid w:val="0"/>
              <w:ind w:firstLine="2741" w:firstLineChars="1300"/>
              <w:rPr>
                <w:rFonts w:ascii="宋体" w:hAnsi="宋体"/>
                <w:b/>
                <w:szCs w:val="21"/>
              </w:rPr>
            </w:pPr>
            <w:r>
              <w:rPr>
                <w:rFonts w:ascii="宋体" w:hAnsi="宋体"/>
                <w:b/>
                <w:szCs w:val="21"/>
              </w:rPr>
              <w:t>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
                <w:bCs/>
                <w:szCs w:val="21"/>
              </w:rPr>
            </w:pPr>
            <w:r>
              <w:rPr>
                <w:rFonts w:ascii="宋体" w:hAnsi="宋体"/>
                <w:b/>
                <w:bCs/>
                <w:szCs w:val="21"/>
              </w:rPr>
              <w:t>1</w:t>
            </w:r>
          </w:p>
        </w:tc>
        <w:tc>
          <w:tcPr>
            <w:tcW w:w="6067" w:type="dxa"/>
            <w:vAlign w:val="center"/>
          </w:tcPr>
          <w:p>
            <w:pPr>
              <w:adjustRightInd w:val="0"/>
              <w:snapToGrid w:val="0"/>
              <w:jc w:val="center"/>
              <w:rPr>
                <w:rFonts w:ascii="宋体" w:hAnsi="宋体"/>
                <w:bCs/>
                <w:szCs w:val="21"/>
                <w:u w:val="single"/>
              </w:rPr>
            </w:pPr>
            <w:r>
              <w:rPr>
                <w:rFonts w:ascii="宋体" w:hAnsi="宋体"/>
                <w:bCs/>
                <w:szCs w:val="21"/>
              </w:rPr>
              <w:t>………</w:t>
            </w:r>
          </w:p>
        </w:tc>
        <w:tc>
          <w:tcPr>
            <w:tcW w:w="1633" w:type="dxa"/>
            <w:vAlign w:val="center"/>
          </w:tcPr>
          <w:p>
            <w:pPr>
              <w:adjustRightInd w:val="0"/>
              <w:snapToGrid w:val="0"/>
              <w:rPr>
                <w:rFonts w:ascii="宋体" w:hAnsi="宋体"/>
                <w:bCs/>
                <w:szCs w:val="21"/>
                <w:u w:val="single"/>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
                <w:bCs/>
                <w:szCs w:val="21"/>
              </w:rPr>
            </w:pPr>
            <w:r>
              <w:rPr>
                <w:rFonts w:ascii="宋体" w:hAnsi="宋体"/>
                <w:b/>
                <w:bCs/>
                <w:szCs w:val="21"/>
              </w:rPr>
              <w:t>2</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
                <w:bCs/>
                <w:szCs w:val="21"/>
              </w:rPr>
            </w:pPr>
            <w:r>
              <w:rPr>
                <w:rFonts w:ascii="宋体" w:hAnsi="宋体"/>
                <w:b/>
                <w:bCs/>
                <w:szCs w:val="21"/>
              </w:rPr>
              <w:t>3</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
                <w:bCs/>
                <w:szCs w:val="21"/>
              </w:rPr>
            </w:pPr>
            <w:r>
              <w:rPr>
                <w:rFonts w:ascii="宋体" w:hAnsi="宋体"/>
                <w:b/>
                <w:bCs/>
                <w:szCs w:val="21"/>
              </w:rPr>
              <w:t>…</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
                <w:bCs/>
                <w:szCs w:val="21"/>
              </w:rPr>
            </w:pPr>
            <w:r>
              <w:rPr>
                <w:rFonts w:ascii="宋体" w:hAnsi="宋体"/>
                <w:b/>
                <w:bCs/>
                <w:szCs w:val="21"/>
              </w:rPr>
              <w:t>…</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
                <w:szCs w:val="21"/>
              </w:rPr>
            </w:pPr>
            <w:r>
              <w:rPr>
                <w:rFonts w:ascii="宋体" w:hAnsi="宋体"/>
                <w:b/>
                <w:szCs w:val="21"/>
              </w:rPr>
              <w:t>二</w:t>
            </w:r>
          </w:p>
        </w:tc>
        <w:tc>
          <w:tcPr>
            <w:tcW w:w="7700" w:type="dxa"/>
            <w:gridSpan w:val="2"/>
            <w:vAlign w:val="center"/>
          </w:tcPr>
          <w:p>
            <w:pPr>
              <w:adjustRightInd w:val="0"/>
              <w:snapToGrid w:val="0"/>
              <w:ind w:firstLine="2741" w:firstLineChars="1300"/>
              <w:rPr>
                <w:rFonts w:ascii="宋体" w:hAnsi="宋体"/>
                <w:b/>
                <w:szCs w:val="21"/>
              </w:rPr>
            </w:pPr>
            <w:r>
              <w:rPr>
                <w:rFonts w:ascii="宋体" w:hAnsi="宋体"/>
                <w:b/>
                <w:szCs w:val="21"/>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
                <w:bCs/>
                <w:szCs w:val="21"/>
              </w:rPr>
            </w:pPr>
            <w:r>
              <w:rPr>
                <w:rFonts w:ascii="宋体" w:hAnsi="宋体"/>
                <w:b/>
                <w:bCs/>
                <w:szCs w:val="21"/>
              </w:rPr>
              <w:t>1</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u w:val="single"/>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
                <w:bCs/>
                <w:szCs w:val="21"/>
              </w:rPr>
            </w:pPr>
            <w:r>
              <w:rPr>
                <w:rFonts w:ascii="宋体" w:hAnsi="宋体"/>
                <w:b/>
                <w:bCs/>
                <w:szCs w:val="21"/>
              </w:rPr>
              <w:t>2</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
                <w:bCs/>
                <w:szCs w:val="21"/>
              </w:rPr>
            </w:pPr>
            <w:r>
              <w:rPr>
                <w:rFonts w:ascii="宋体" w:hAnsi="宋体"/>
                <w:b/>
                <w:bCs/>
                <w:szCs w:val="21"/>
              </w:rPr>
              <w:t>3</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Cs/>
                <w:szCs w:val="21"/>
              </w:rPr>
            </w:pPr>
            <w:r>
              <w:rPr>
                <w:rFonts w:ascii="宋体" w:hAnsi="宋体"/>
                <w:bCs/>
                <w:szCs w:val="21"/>
              </w:rPr>
              <w:t>…</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Cs/>
                <w:szCs w:val="21"/>
              </w:rPr>
            </w:pPr>
            <w:r>
              <w:rPr>
                <w:rFonts w:ascii="宋体" w:hAnsi="宋体"/>
                <w:bCs/>
                <w:szCs w:val="21"/>
              </w:rPr>
              <w:t>…</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jc w:val="center"/>
              <w:rPr>
                <w:rFonts w:ascii="宋体" w:hAnsi="宋体"/>
                <w:bCs/>
                <w:szCs w:val="21"/>
              </w:rPr>
            </w:pPr>
            <w:r>
              <w:rPr>
                <w:rFonts w:ascii="宋体" w:hAnsi="宋体"/>
                <w:bCs/>
                <w:szCs w:val="21"/>
              </w:rPr>
              <w:t>…</w:t>
            </w:r>
          </w:p>
        </w:tc>
        <w:tc>
          <w:tcPr>
            <w:tcW w:w="6067" w:type="dxa"/>
            <w:vAlign w:val="center"/>
          </w:tcPr>
          <w:p>
            <w:pPr>
              <w:adjustRightInd w:val="0"/>
              <w:snapToGrid w:val="0"/>
              <w:jc w:val="center"/>
              <w:rPr>
                <w:rFonts w:ascii="宋体" w:hAnsi="宋体"/>
                <w:bCs/>
                <w:szCs w:val="21"/>
              </w:rPr>
            </w:pPr>
            <w:r>
              <w:rPr>
                <w:rFonts w:ascii="宋体" w:hAnsi="宋体"/>
                <w:bCs/>
                <w:szCs w:val="21"/>
              </w:rPr>
              <w:t>………</w:t>
            </w:r>
          </w:p>
        </w:tc>
        <w:tc>
          <w:tcPr>
            <w:tcW w:w="1633" w:type="dxa"/>
            <w:vAlign w:val="center"/>
          </w:tcPr>
          <w:p>
            <w:pPr>
              <w:adjustRightInd w:val="0"/>
              <w:snapToGrid w:val="0"/>
              <w:rPr>
                <w:rFonts w:ascii="宋体" w:hAnsi="宋体"/>
                <w:bCs/>
                <w:szCs w:val="21"/>
              </w:rPr>
            </w:pPr>
            <w:r>
              <w:rPr>
                <w:rFonts w:ascii="宋体" w:hAnsi="宋体"/>
                <w:bCs/>
                <w:szCs w:val="21"/>
              </w:rPr>
              <w:t>P</w:t>
            </w:r>
            <w:r>
              <w:rPr>
                <w:rFonts w:ascii="宋体" w:hAnsi="宋体"/>
                <w:bCs/>
                <w:szCs w:val="21"/>
                <w:u w:val="single"/>
              </w:rPr>
              <w:t xml:space="preserve">   </w:t>
            </w:r>
            <w:r>
              <w:rPr>
                <w:rFonts w:ascii="宋体" w:hAnsi="宋体"/>
                <w:bCs/>
                <w:szCs w:val="21"/>
              </w:rPr>
              <w:t>～P</w:t>
            </w:r>
            <w:r>
              <w:rPr>
                <w:rFonts w:ascii="宋体" w:hAnsi="宋体"/>
                <w:bCs/>
                <w:szCs w:val="21"/>
                <w:u w:val="single"/>
              </w:rPr>
              <w:t xml:space="preserve">   </w:t>
            </w:r>
          </w:p>
        </w:tc>
      </w:tr>
    </w:tbl>
    <w:p>
      <w:pPr>
        <w:tabs>
          <w:tab w:val="left" w:pos="1269"/>
        </w:tabs>
        <w:snapToGrid w:val="0"/>
        <w:spacing w:line="360" w:lineRule="auto"/>
        <w:ind w:firstLine="420" w:firstLineChars="200"/>
        <w:rPr>
          <w:rFonts w:ascii="宋体" w:hAnsi="宋体"/>
          <w:szCs w:val="21"/>
        </w:rPr>
      </w:pPr>
    </w:p>
    <w:p>
      <w:pPr>
        <w:tabs>
          <w:tab w:val="left" w:pos="1269"/>
        </w:tabs>
        <w:snapToGrid w:val="0"/>
        <w:spacing w:line="360" w:lineRule="auto"/>
        <w:ind w:firstLine="210" w:firstLineChars="100"/>
        <w:rPr>
          <w:rFonts w:ascii="宋体" w:hAnsi="宋体"/>
          <w:szCs w:val="21"/>
        </w:rPr>
      </w:pPr>
      <w:r>
        <w:rPr>
          <w:rFonts w:ascii="宋体" w:hAnsi="宋体"/>
          <w:szCs w:val="21"/>
        </w:rPr>
        <w:t xml:space="preserve">注：1. </w:t>
      </w:r>
      <w:r>
        <w:rPr>
          <w:rFonts w:hint="eastAsia" w:ascii="宋体" w:hAnsi="宋体"/>
          <w:szCs w:val="21"/>
        </w:rPr>
        <w:t>供应商</w:t>
      </w:r>
      <w:r>
        <w:rPr>
          <w:rFonts w:ascii="宋体" w:hAnsi="宋体"/>
          <w:szCs w:val="21"/>
        </w:rPr>
        <w:t>应对提交的</w:t>
      </w:r>
      <w:r>
        <w:rPr>
          <w:rFonts w:hint="eastAsia" w:ascii="宋体" w:hAnsi="宋体"/>
          <w:szCs w:val="21"/>
        </w:rPr>
        <w:t>响应</w:t>
      </w:r>
      <w:r>
        <w:rPr>
          <w:rFonts w:ascii="宋体" w:hAnsi="宋体"/>
          <w:szCs w:val="21"/>
        </w:rPr>
        <w:t>文件逐页标注页码。</w:t>
      </w:r>
    </w:p>
    <w:p>
      <w:pPr>
        <w:tabs>
          <w:tab w:val="left" w:pos="1269"/>
        </w:tabs>
        <w:snapToGrid w:val="0"/>
        <w:spacing w:line="360" w:lineRule="auto"/>
        <w:ind w:firstLine="630" w:firstLineChars="300"/>
        <w:rPr>
          <w:rFonts w:ascii="宋体" w:hAnsi="宋体"/>
          <w:szCs w:val="21"/>
        </w:rPr>
      </w:pPr>
      <w:r>
        <w:rPr>
          <w:rFonts w:hint="eastAsia" w:ascii="宋体" w:hAnsi="宋体"/>
          <w:szCs w:val="21"/>
        </w:rPr>
        <w:t>2</w:t>
      </w:r>
      <w:r>
        <w:rPr>
          <w:rFonts w:ascii="宋体" w:hAnsi="宋体"/>
          <w:szCs w:val="21"/>
        </w:rPr>
        <w:t xml:space="preserve">. </w:t>
      </w:r>
      <w:r>
        <w:rPr>
          <w:rFonts w:hint="eastAsia" w:ascii="宋体" w:hAnsi="宋体"/>
          <w:szCs w:val="21"/>
        </w:rPr>
        <w:t>供应商</w:t>
      </w:r>
      <w:r>
        <w:rPr>
          <w:rFonts w:ascii="宋体" w:hAnsi="宋体"/>
          <w:szCs w:val="21"/>
        </w:rPr>
        <w:t>应按上表的格式，对照</w:t>
      </w:r>
      <w:r>
        <w:rPr>
          <w:rFonts w:hint="eastAsia" w:ascii="宋体" w:hAnsi="宋体"/>
          <w:szCs w:val="21"/>
        </w:rPr>
        <w:t>磋商</w:t>
      </w:r>
      <w:r>
        <w:rPr>
          <w:rFonts w:ascii="宋体" w:hAnsi="宋体"/>
          <w:szCs w:val="21"/>
        </w:rPr>
        <w:t>文件中</w:t>
      </w:r>
      <w:r>
        <w:rPr>
          <w:rFonts w:hint="eastAsia" w:ascii="宋体" w:hAnsi="宋体"/>
          <w:szCs w:val="21"/>
        </w:rPr>
        <w:t>评审</w:t>
      </w:r>
      <w:r>
        <w:rPr>
          <w:rFonts w:ascii="宋体" w:hAnsi="宋体"/>
          <w:szCs w:val="21"/>
        </w:rPr>
        <w:t>办法的评审内容，建立起</w:t>
      </w:r>
      <w:r>
        <w:rPr>
          <w:rFonts w:hint="eastAsia" w:ascii="宋体" w:hAnsi="宋体"/>
          <w:szCs w:val="21"/>
        </w:rPr>
        <w:t>响应</w:t>
      </w:r>
      <w:r>
        <w:rPr>
          <w:rFonts w:ascii="宋体" w:hAnsi="宋体"/>
          <w:szCs w:val="21"/>
        </w:rPr>
        <w:t>文件相关评审内容与页码之间的索引。</w:t>
      </w:r>
    </w:p>
    <w:p>
      <w:pPr>
        <w:pStyle w:val="8"/>
      </w:pPr>
    </w:p>
    <w:p/>
    <w:p>
      <w:pPr>
        <w:pStyle w:val="37"/>
      </w:pPr>
    </w:p>
    <w:p/>
    <w:p>
      <w:pPr>
        <w:pStyle w:val="37"/>
      </w:pPr>
    </w:p>
    <w:p/>
    <w:p>
      <w:pPr>
        <w:pStyle w:val="37"/>
      </w:pPr>
    </w:p>
    <w:p/>
    <w:p>
      <w:pPr>
        <w:pStyle w:val="37"/>
      </w:pPr>
    </w:p>
    <w:p/>
    <w:p>
      <w:pPr>
        <w:pStyle w:val="37"/>
      </w:pPr>
    </w:p>
    <w:p/>
    <w:p>
      <w:pPr>
        <w:pStyle w:val="37"/>
      </w:pPr>
    </w:p>
    <w:p/>
    <w:p>
      <w:pPr>
        <w:pStyle w:val="37"/>
      </w:pPr>
    </w:p>
    <w:sectPr>
      <w:footerReference r:id="rId7" w:type="first"/>
      <w:headerReference r:id="rId5" w:type="default"/>
      <w:footerReference r:id="rId6" w:type="default"/>
      <w:pgSz w:w="11906" w:h="16838"/>
      <w:pgMar w:top="1015" w:right="1196" w:bottom="868" w:left="1259"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9"/>
                            <w:rPr>
                              <w:rStyle w:val="32"/>
                            </w:rPr>
                          </w:pPr>
                          <w:r>
                            <w:fldChar w:fldCharType="begin"/>
                          </w:r>
                          <w:r>
                            <w:rPr>
                              <w:rStyle w:val="32"/>
                            </w:rPr>
                            <w:instrText xml:space="preserve">PAGE  </w:instrText>
                          </w:r>
                          <w:r>
                            <w:fldChar w:fldCharType="separate"/>
                          </w:r>
                          <w:r>
                            <w:rPr>
                              <w:rStyle w:val="32"/>
                            </w:rPr>
                            <w:t>30</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pYU0AAAAAMBAAAPAAAAAAAAAAEAIAAAACIAAABkcnMvZG93bnJldi54bWxQSwEC&#10;FAAUAAAACACHTuJAP0e6UfwBAAAEBAAADgAAAAAAAAABACAAAAAfAQAAZHJzL2Uyb0RvYy54bWxQ&#10;SwUGAAAAAAYABgBZAQAAjQUAAAAA&#10;">
              <v:fill on="f" focussize="0,0"/>
              <v:stroke on="f"/>
              <v:imagedata o:title=""/>
              <o:lock v:ext="edit" aspectratio="f"/>
              <v:textbox inset="0mm,0mm,0mm,0mm" style="mso-fit-shape-to-text:t;">
                <w:txbxContent>
                  <w:p>
                    <w:pPr>
                      <w:pStyle w:val="19"/>
                      <w:rPr>
                        <w:rStyle w:val="32"/>
                      </w:rPr>
                    </w:pPr>
                    <w:r>
                      <w:fldChar w:fldCharType="begin"/>
                    </w:r>
                    <w:r>
                      <w:rPr>
                        <w:rStyle w:val="32"/>
                      </w:rPr>
                      <w:instrText xml:space="preserve">PAGE  </w:instrText>
                    </w:r>
                    <w:r>
                      <w:fldChar w:fldCharType="separate"/>
                    </w:r>
                    <w:r>
                      <w:rPr>
                        <w:rStyle w:val="32"/>
                      </w:rP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9"/>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TaVsH9AQAABAQAAA4AAAAAAAAAAQAgAAAAHwEAAGRycy9lMm9Eb2MueG1s&#10;UEsFBgAAAAAGAAYAWQEAAI4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left" w:pos="2609"/>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left" w:pos="3565"/>
        <w:tab w:val="clear" w:pos="4153"/>
        <w:tab w:val="clear"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A992A"/>
    <w:multiLevelType w:val="singleLevel"/>
    <w:tmpl w:val="E73A992A"/>
    <w:lvl w:ilvl="0" w:tentative="0">
      <w:start w:val="7"/>
      <w:numFmt w:val="chineseCounting"/>
      <w:suff w:val="nothing"/>
      <w:lvlText w:val="%1、"/>
      <w:lvlJc w:val="left"/>
      <w:rPr>
        <w:rFonts w:hint="eastAsia"/>
      </w:rPr>
    </w:lvl>
  </w:abstractNum>
  <w:abstractNum w:abstractNumId="1">
    <w:nsid w:val="01EF0130"/>
    <w:multiLevelType w:val="singleLevel"/>
    <w:tmpl w:val="01EF0130"/>
    <w:lvl w:ilvl="0" w:tentative="0">
      <w:start w:val="4"/>
      <w:numFmt w:val="chineseCounting"/>
      <w:suff w:val="space"/>
      <w:lvlText w:val="第%1章"/>
      <w:lvlJc w:val="left"/>
      <w:rPr>
        <w:rFonts w:hint="eastAsia"/>
      </w:rPr>
    </w:lvl>
  </w:abstractNum>
  <w:abstractNum w:abstractNumId="2">
    <w:nsid w:val="06784D56"/>
    <w:multiLevelType w:val="singleLevel"/>
    <w:tmpl w:val="06784D56"/>
    <w:lvl w:ilvl="0" w:tentative="0">
      <w:start w:val="1"/>
      <w:numFmt w:val="upperLetter"/>
      <w:pStyle w:val="74"/>
      <w:lvlText w:val="附录%1."/>
      <w:lvlJc w:val="left"/>
      <w:pPr>
        <w:tabs>
          <w:tab w:val="left" w:pos="907"/>
        </w:tabs>
        <w:ind w:left="907" w:hanging="907"/>
      </w:pPr>
      <w:rPr>
        <w:rFonts w:hint="eastAsia"/>
      </w:rPr>
    </w:lvl>
  </w:abstractNum>
  <w:abstractNum w:abstractNumId="3">
    <w:nsid w:val="0D1003AF"/>
    <w:multiLevelType w:val="singleLevel"/>
    <w:tmpl w:val="0D1003AF"/>
    <w:lvl w:ilvl="0" w:tentative="0">
      <w:start w:val="1"/>
      <w:numFmt w:val="chineseCounting"/>
      <w:suff w:val="nothing"/>
      <w:lvlText w:val="%1、"/>
      <w:lvlJc w:val="left"/>
      <w:rPr>
        <w:rFonts w:hint="eastAsia"/>
      </w:rPr>
    </w:lvl>
  </w:abstractNum>
  <w:abstractNum w:abstractNumId="4">
    <w:nsid w:val="237E4D61"/>
    <w:multiLevelType w:val="multilevel"/>
    <w:tmpl w:val="237E4D61"/>
    <w:lvl w:ilvl="0" w:tentative="0">
      <w:start w:val="1"/>
      <w:numFmt w:val="japaneseCounting"/>
      <w:pStyle w:val="67"/>
      <w:lvlText w:val="第%1章"/>
      <w:lvlJc w:val="left"/>
      <w:pPr>
        <w:ind w:left="9351" w:hanging="420"/>
      </w:pPr>
      <w:rPr>
        <w:rFonts w:hint="eastAsia" w:ascii="黑体" w:eastAsia="黑体"/>
        <w:b w:val="0"/>
        <w:sz w:val="36"/>
        <w:lang w:val="en-US"/>
      </w:rPr>
    </w:lvl>
    <w:lvl w:ilvl="1" w:tentative="0">
      <w:start w:val="1"/>
      <w:numFmt w:val="decimal"/>
      <w:pStyle w:val="68"/>
      <w:isLgl/>
      <w:lvlText w:val="%1.%2"/>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pStyle w:val="69"/>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pStyle w:val="95"/>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5">
    <w:nsid w:val="4D88D4E6"/>
    <w:multiLevelType w:val="singleLevel"/>
    <w:tmpl w:val="4D88D4E6"/>
    <w:lvl w:ilvl="0" w:tentative="0">
      <w:start w:val="2"/>
      <w:numFmt w:val="chineseCounting"/>
      <w:suff w:val="nothing"/>
      <w:lvlText w:val="（%1）"/>
      <w:lvlJc w:val="left"/>
      <w:rPr>
        <w:rFonts w:hint="eastAsia"/>
      </w:rPr>
    </w:lvl>
  </w:abstractNum>
  <w:abstractNum w:abstractNumId="6">
    <w:nsid w:val="58078992"/>
    <w:multiLevelType w:val="singleLevel"/>
    <w:tmpl w:val="58078992"/>
    <w:lvl w:ilvl="0" w:tentative="0">
      <w:start w:val="1"/>
      <w:numFmt w:val="decimal"/>
      <w:suff w:val="nothing"/>
      <w:lvlText w:val="（%1）"/>
      <w:lvlJc w:val="left"/>
    </w:lvl>
  </w:abstractNum>
  <w:abstractNum w:abstractNumId="7">
    <w:nsid w:val="58A0739B"/>
    <w:multiLevelType w:val="singleLevel"/>
    <w:tmpl w:val="58A0739B"/>
    <w:lvl w:ilvl="0" w:tentative="0">
      <w:start w:val="1"/>
      <w:numFmt w:val="chineseCounting"/>
      <w:suff w:val="space"/>
      <w:lvlText w:val="第%1章"/>
      <w:lvlJc w:val="left"/>
      <w:rPr>
        <w:rFonts w:hint="eastAsia"/>
      </w:rPr>
    </w:lvl>
  </w:abstractNum>
  <w:abstractNum w:abstractNumId="8">
    <w:nsid w:val="593A3433"/>
    <w:multiLevelType w:val="multilevel"/>
    <w:tmpl w:val="593A3433"/>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64"/>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8"/>
  </w:num>
  <w:num w:numId="2">
    <w:abstractNumId w:val="4"/>
  </w:num>
  <w:num w:numId="3">
    <w:abstractNumId w:val="2"/>
  </w:num>
  <w:num w:numId="4">
    <w:abstractNumId w:val="7"/>
  </w:num>
  <w:num w:numId="5">
    <w:abstractNumId w:val="5"/>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5YzhlZDcwNGI5ZmNmOWIyZWRkMDhiOGZhNzgxYWIifQ=="/>
  </w:docVars>
  <w:rsids>
    <w:rsidRoot w:val="00172A27"/>
    <w:rsid w:val="00062786"/>
    <w:rsid w:val="0007479F"/>
    <w:rsid w:val="000A1414"/>
    <w:rsid w:val="000B416B"/>
    <w:rsid w:val="000E7BA5"/>
    <w:rsid w:val="0010588F"/>
    <w:rsid w:val="00141B03"/>
    <w:rsid w:val="00141F1E"/>
    <w:rsid w:val="00161004"/>
    <w:rsid w:val="00170F91"/>
    <w:rsid w:val="00172A27"/>
    <w:rsid w:val="001915B3"/>
    <w:rsid w:val="0019702F"/>
    <w:rsid w:val="001B5E48"/>
    <w:rsid w:val="001D7619"/>
    <w:rsid w:val="001E360E"/>
    <w:rsid w:val="001F5A35"/>
    <w:rsid w:val="002029CF"/>
    <w:rsid w:val="0022177C"/>
    <w:rsid w:val="00247D97"/>
    <w:rsid w:val="002648CD"/>
    <w:rsid w:val="00284ED3"/>
    <w:rsid w:val="002B59E7"/>
    <w:rsid w:val="00336983"/>
    <w:rsid w:val="00343E7A"/>
    <w:rsid w:val="00365DC3"/>
    <w:rsid w:val="00371851"/>
    <w:rsid w:val="0038363E"/>
    <w:rsid w:val="003E7ACE"/>
    <w:rsid w:val="00402D41"/>
    <w:rsid w:val="00423F7F"/>
    <w:rsid w:val="00466518"/>
    <w:rsid w:val="00470E27"/>
    <w:rsid w:val="00475013"/>
    <w:rsid w:val="004A2EF3"/>
    <w:rsid w:val="0054022A"/>
    <w:rsid w:val="005521D8"/>
    <w:rsid w:val="005546EE"/>
    <w:rsid w:val="00567032"/>
    <w:rsid w:val="0057155F"/>
    <w:rsid w:val="005B32BD"/>
    <w:rsid w:val="005C7C86"/>
    <w:rsid w:val="005F02BD"/>
    <w:rsid w:val="00605305"/>
    <w:rsid w:val="00616EE3"/>
    <w:rsid w:val="00621CA3"/>
    <w:rsid w:val="00623532"/>
    <w:rsid w:val="006602CD"/>
    <w:rsid w:val="006666A5"/>
    <w:rsid w:val="00674C29"/>
    <w:rsid w:val="00686410"/>
    <w:rsid w:val="006E0BBA"/>
    <w:rsid w:val="007274DB"/>
    <w:rsid w:val="00730447"/>
    <w:rsid w:val="00775C23"/>
    <w:rsid w:val="0079795F"/>
    <w:rsid w:val="007A0800"/>
    <w:rsid w:val="007D30EE"/>
    <w:rsid w:val="00804746"/>
    <w:rsid w:val="0082205D"/>
    <w:rsid w:val="00826F8B"/>
    <w:rsid w:val="008412AB"/>
    <w:rsid w:val="0084224D"/>
    <w:rsid w:val="00843012"/>
    <w:rsid w:val="00871628"/>
    <w:rsid w:val="008E2056"/>
    <w:rsid w:val="009005E6"/>
    <w:rsid w:val="00906813"/>
    <w:rsid w:val="009D5DD5"/>
    <w:rsid w:val="00A10B0E"/>
    <w:rsid w:val="00A1735E"/>
    <w:rsid w:val="00A505F7"/>
    <w:rsid w:val="00A61E4E"/>
    <w:rsid w:val="00AC52F7"/>
    <w:rsid w:val="00AF2FB5"/>
    <w:rsid w:val="00B71E4D"/>
    <w:rsid w:val="00B74C8E"/>
    <w:rsid w:val="00B94B43"/>
    <w:rsid w:val="00BB5E4C"/>
    <w:rsid w:val="00BC2894"/>
    <w:rsid w:val="00BD6E0F"/>
    <w:rsid w:val="00BE456C"/>
    <w:rsid w:val="00C00508"/>
    <w:rsid w:val="00C3117E"/>
    <w:rsid w:val="00C86015"/>
    <w:rsid w:val="00D0628E"/>
    <w:rsid w:val="00D45E1B"/>
    <w:rsid w:val="00D75954"/>
    <w:rsid w:val="00E05CC4"/>
    <w:rsid w:val="00E102E6"/>
    <w:rsid w:val="00E35E06"/>
    <w:rsid w:val="00E36B85"/>
    <w:rsid w:val="00EB7EF6"/>
    <w:rsid w:val="00F355B1"/>
    <w:rsid w:val="00F61F3A"/>
    <w:rsid w:val="00F664C1"/>
    <w:rsid w:val="00F9677D"/>
    <w:rsid w:val="00FE1F57"/>
    <w:rsid w:val="049B0EF4"/>
    <w:rsid w:val="04FE3049"/>
    <w:rsid w:val="06A47871"/>
    <w:rsid w:val="07ED4C15"/>
    <w:rsid w:val="08511E30"/>
    <w:rsid w:val="08E760EC"/>
    <w:rsid w:val="0DE15D1C"/>
    <w:rsid w:val="0EF14E1E"/>
    <w:rsid w:val="0F3A4EB3"/>
    <w:rsid w:val="124400C2"/>
    <w:rsid w:val="2135387C"/>
    <w:rsid w:val="23871AF4"/>
    <w:rsid w:val="24CD14A7"/>
    <w:rsid w:val="25513DC9"/>
    <w:rsid w:val="265E214D"/>
    <w:rsid w:val="26B74F7E"/>
    <w:rsid w:val="28D911C5"/>
    <w:rsid w:val="32970F2D"/>
    <w:rsid w:val="38B23FBB"/>
    <w:rsid w:val="3A131D08"/>
    <w:rsid w:val="3A4C2E2C"/>
    <w:rsid w:val="3C066F91"/>
    <w:rsid w:val="3C89280A"/>
    <w:rsid w:val="3DEB15EC"/>
    <w:rsid w:val="40285F16"/>
    <w:rsid w:val="431146D3"/>
    <w:rsid w:val="45286474"/>
    <w:rsid w:val="4ADF0B88"/>
    <w:rsid w:val="4C25329B"/>
    <w:rsid w:val="4EDF582F"/>
    <w:rsid w:val="50233C54"/>
    <w:rsid w:val="54B25779"/>
    <w:rsid w:val="56D42029"/>
    <w:rsid w:val="5AC24446"/>
    <w:rsid w:val="5C1E1192"/>
    <w:rsid w:val="5E4075E5"/>
    <w:rsid w:val="6254321E"/>
    <w:rsid w:val="657E698A"/>
    <w:rsid w:val="6889591E"/>
    <w:rsid w:val="68C91573"/>
    <w:rsid w:val="6DE37C0C"/>
    <w:rsid w:val="70EB5805"/>
    <w:rsid w:val="73836A60"/>
    <w:rsid w:val="793B0E46"/>
    <w:rsid w:val="7DDC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1"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8"/>
    <w:qFormat/>
    <w:uiPriority w:val="0"/>
    <w:pPr>
      <w:keepNext/>
      <w:jc w:val="center"/>
      <w:outlineLvl w:val="0"/>
    </w:pPr>
    <w:rPr>
      <w:rFonts w:ascii="楷体_GB2312" w:hAnsi="楷体_GB2312"/>
      <w:b/>
      <w:szCs w:val="20"/>
    </w:rPr>
  </w:style>
  <w:style w:type="paragraph" w:styleId="3">
    <w:name w:val="heading 2"/>
    <w:basedOn w:val="1"/>
    <w:next w:val="4"/>
    <w:link w:val="47"/>
    <w:qFormat/>
    <w:uiPriority w:val="0"/>
    <w:pPr>
      <w:keepNext/>
      <w:keepLines/>
      <w:spacing w:before="260" w:after="260" w:line="416" w:lineRule="auto"/>
      <w:jc w:val="center"/>
      <w:outlineLvl w:val="1"/>
    </w:pPr>
    <w:rPr>
      <w:rFonts w:ascii="Arial" w:hAnsi="Arial" w:eastAsia="幼圆"/>
      <w:b/>
      <w:sz w:val="44"/>
      <w:szCs w:val="20"/>
    </w:rPr>
  </w:style>
  <w:style w:type="paragraph" w:styleId="5">
    <w:name w:val="heading 3"/>
    <w:basedOn w:val="1"/>
    <w:next w:val="4"/>
    <w:qFormat/>
    <w:uiPriority w:val="0"/>
    <w:pPr>
      <w:keepNext/>
      <w:keepLines/>
      <w:spacing w:before="260" w:after="260" w:line="416"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outlineLvl w:val="4"/>
    </w:pPr>
    <w:rPr>
      <w:rFonts w:ascii="宋体" w:hAnsi="宋体"/>
      <w:b/>
      <w:bC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6"/>
    <w:qFormat/>
    <w:uiPriority w:val="0"/>
    <w:pPr>
      <w:ind w:firstLine="420"/>
    </w:pPr>
    <w:rPr>
      <w:szCs w:val="20"/>
    </w:rPr>
  </w:style>
  <w:style w:type="paragraph" w:styleId="8">
    <w:name w:val="Note Heading"/>
    <w:basedOn w:val="1"/>
    <w:next w:val="1"/>
    <w:qFormat/>
    <w:uiPriority w:val="0"/>
    <w:rPr>
      <w:rFonts w:ascii="Verdana" w:hAnsi="Verdana"/>
      <w:szCs w:val="20"/>
    </w:rPr>
  </w:style>
  <w:style w:type="paragraph" w:styleId="9">
    <w:name w:val="Document Map"/>
    <w:basedOn w:val="1"/>
    <w:semiHidden/>
    <w:qFormat/>
    <w:uiPriority w:val="0"/>
    <w:pPr>
      <w:shd w:val="clear" w:color="auto" w:fill="000080"/>
    </w:pPr>
  </w:style>
  <w:style w:type="paragraph" w:styleId="10">
    <w:name w:val="annotation text"/>
    <w:basedOn w:val="1"/>
    <w:link w:val="42"/>
    <w:qFormat/>
    <w:uiPriority w:val="0"/>
    <w:pPr>
      <w:jc w:val="left"/>
    </w:pPr>
  </w:style>
  <w:style w:type="paragraph" w:styleId="11">
    <w:name w:val="Body Text 3"/>
    <w:basedOn w:val="1"/>
    <w:qFormat/>
    <w:uiPriority w:val="0"/>
    <w:rPr>
      <w:rFonts w:ascii="仿宋_GB2312" w:hAnsi="Arial" w:eastAsia="仿宋_GB2312"/>
      <w:sz w:val="32"/>
      <w:szCs w:val="20"/>
    </w:rPr>
  </w:style>
  <w:style w:type="paragraph" w:styleId="12">
    <w:name w:val="Body Text"/>
    <w:basedOn w:val="1"/>
    <w:qFormat/>
    <w:uiPriority w:val="0"/>
    <w:rPr>
      <w:rFonts w:ascii="楷体_GB2312" w:hAnsi="Arial" w:eastAsia="楷体_GB2312"/>
      <w:sz w:val="28"/>
      <w:szCs w:val="20"/>
    </w:rPr>
  </w:style>
  <w:style w:type="paragraph" w:styleId="13">
    <w:name w:val="Body Text Indent"/>
    <w:basedOn w:val="1"/>
    <w:link w:val="55"/>
    <w:qFormat/>
    <w:uiPriority w:val="0"/>
    <w:pPr>
      <w:ind w:firstLine="645"/>
    </w:pPr>
    <w:rPr>
      <w:rFonts w:ascii="楷体_GB2312" w:eastAsia="楷体_GB2312"/>
      <w:sz w:val="32"/>
      <w:szCs w:val="20"/>
    </w:rPr>
  </w:style>
  <w:style w:type="paragraph" w:styleId="14">
    <w:name w:val="Block Text"/>
    <w:basedOn w:val="1"/>
    <w:qFormat/>
    <w:uiPriority w:val="0"/>
    <w:pPr>
      <w:autoSpaceDE w:val="0"/>
      <w:autoSpaceDN w:val="0"/>
      <w:adjustRightInd w:val="0"/>
      <w:ind w:left="256" w:right="6" w:firstLine="624"/>
    </w:pPr>
    <w:rPr>
      <w:rFonts w:eastAsia="仿宋_GB2312"/>
      <w:kern w:val="0"/>
      <w:sz w:val="28"/>
      <w:szCs w:val="20"/>
    </w:rPr>
  </w:style>
  <w:style w:type="paragraph" w:styleId="15">
    <w:name w:val="Date"/>
    <w:basedOn w:val="1"/>
    <w:next w:val="1"/>
    <w:qFormat/>
    <w:uiPriority w:val="0"/>
    <w:rPr>
      <w:sz w:val="24"/>
      <w:szCs w:val="20"/>
    </w:rPr>
  </w:style>
  <w:style w:type="paragraph" w:styleId="16">
    <w:name w:val="Body Text Indent 2"/>
    <w:basedOn w:val="1"/>
    <w:qFormat/>
    <w:uiPriority w:val="0"/>
    <w:pPr>
      <w:ind w:firstLine="560" w:firstLineChars="200"/>
    </w:pPr>
    <w:rPr>
      <w:rFonts w:ascii="宋体" w:hAnsi="宋体"/>
      <w:sz w:val="28"/>
    </w:rPr>
  </w:style>
  <w:style w:type="paragraph" w:styleId="17">
    <w:name w:val="endnote text"/>
    <w:basedOn w:val="1"/>
    <w:qFormat/>
    <w:uiPriority w:val="0"/>
    <w:pPr>
      <w:snapToGrid w:val="0"/>
      <w:jc w:val="left"/>
    </w:pPr>
  </w:style>
  <w:style w:type="paragraph" w:styleId="18">
    <w:name w:val="Balloon Text"/>
    <w:basedOn w:val="1"/>
    <w:link w:val="50"/>
    <w:qFormat/>
    <w:uiPriority w:val="0"/>
    <w:rPr>
      <w:sz w:val="18"/>
      <w:szCs w:val="18"/>
    </w:rPr>
  </w:style>
  <w:style w:type="paragraph" w:styleId="19">
    <w:name w:val="footer"/>
    <w:basedOn w:val="1"/>
    <w:link w:val="46"/>
    <w:qFormat/>
    <w:uiPriority w:val="99"/>
    <w:pPr>
      <w:tabs>
        <w:tab w:val="center" w:pos="4153"/>
        <w:tab w:val="right" w:pos="8306"/>
      </w:tabs>
      <w:snapToGrid w:val="0"/>
      <w:jc w:val="left"/>
    </w:pPr>
    <w:rPr>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spacing w:before="120" w:after="120"/>
      <w:jc w:val="left"/>
    </w:pPr>
    <w:rPr>
      <w:rFonts w:cs="Calibri"/>
      <w:b/>
      <w:bCs/>
      <w:caps/>
      <w:sz w:val="20"/>
      <w:szCs w:val="20"/>
    </w:rPr>
  </w:style>
  <w:style w:type="paragraph" w:styleId="22">
    <w:name w:val="Body Text Indent 3"/>
    <w:basedOn w:val="1"/>
    <w:qFormat/>
    <w:uiPriority w:val="0"/>
    <w:pPr>
      <w:ind w:firstLine="523"/>
    </w:pPr>
    <w:rPr>
      <w:rFonts w:ascii="仿宋_GB2312" w:hAnsi="宋体" w:eastAsia="仿宋_GB2312"/>
      <w:sz w:val="24"/>
    </w:rPr>
  </w:style>
  <w:style w:type="paragraph" w:styleId="23">
    <w:name w:val="Body Text 2"/>
    <w:basedOn w:val="1"/>
    <w:qFormat/>
    <w:uiPriority w:val="0"/>
    <w:pPr>
      <w:jc w:val="center"/>
    </w:pPr>
    <w:rPr>
      <w:rFonts w:ascii="仿宋_GB2312" w:eastAsia="仿宋_GB2312"/>
      <w:sz w:val="44"/>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10"/>
    <w:next w:val="10"/>
    <w:link w:val="57"/>
    <w:qFormat/>
    <w:uiPriority w:val="0"/>
    <w:rPr>
      <w:b/>
      <w:bCs/>
    </w:rPr>
  </w:style>
  <w:style w:type="paragraph" w:styleId="27">
    <w:name w:val="Body Text First Indent"/>
    <w:basedOn w:val="12"/>
    <w:unhideWhenUsed/>
    <w:qFormat/>
    <w:uiPriority w:val="99"/>
    <w:pPr>
      <w:ind w:firstLine="420" w:firstLineChars="1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rFonts w:ascii="微软雅黑" w:hAnsi="微软雅黑" w:eastAsia="微软雅黑" w:cs="微软雅黑"/>
      <w:color w:val="3D3D3D"/>
      <w:u w:val="none"/>
    </w:rPr>
  </w:style>
  <w:style w:type="character" w:styleId="34">
    <w:name w:val="Emphasis"/>
    <w:qFormat/>
    <w:uiPriority w:val="0"/>
    <w:rPr>
      <w:i/>
      <w:iCs/>
    </w:rPr>
  </w:style>
  <w:style w:type="character" w:styleId="35">
    <w:name w:val="Hyperlink"/>
    <w:qFormat/>
    <w:uiPriority w:val="0"/>
    <w:rPr>
      <w:rFonts w:hint="eastAsia" w:ascii="微软雅黑" w:hAnsi="微软雅黑" w:eastAsia="微软雅黑" w:cs="微软雅黑"/>
      <w:color w:val="3D3D3D"/>
      <w:u w:val="none"/>
    </w:rPr>
  </w:style>
  <w:style w:type="character" w:styleId="36">
    <w:name w:val="annotation reference"/>
    <w:qFormat/>
    <w:uiPriority w:val="0"/>
    <w:rPr>
      <w:sz w:val="21"/>
      <w:szCs w:val="21"/>
    </w:rPr>
  </w:style>
  <w:style w:type="paragraph" w:customStyle="1" w:styleId="37">
    <w:name w:val="注释标题1"/>
    <w:basedOn w:val="1"/>
    <w:next w:val="1"/>
    <w:qFormat/>
    <w:uiPriority w:val="0"/>
    <w:rPr>
      <w:rFonts w:ascii="Verdana" w:hAnsi="Verdana"/>
      <w:szCs w:val="20"/>
    </w:rPr>
  </w:style>
  <w:style w:type="character" w:customStyle="1" w:styleId="38">
    <w:name w:val="标题 1 字符"/>
    <w:link w:val="2"/>
    <w:qFormat/>
    <w:uiPriority w:val="0"/>
    <w:rPr>
      <w:rFonts w:ascii="楷体_GB2312" w:hAnsi="楷体_GB2312" w:eastAsia="宋体"/>
      <w:b/>
      <w:kern w:val="2"/>
      <w:sz w:val="21"/>
      <w:lang w:val="en-US" w:eastAsia="zh-CN" w:bidi="ar-SA"/>
    </w:rPr>
  </w:style>
  <w:style w:type="character" w:customStyle="1" w:styleId="39">
    <w:name w:val="批注框文本 字符"/>
    <w:qFormat/>
    <w:uiPriority w:val="0"/>
    <w:rPr>
      <w:kern w:val="2"/>
      <w:sz w:val="18"/>
      <w:szCs w:val="18"/>
    </w:rPr>
  </w:style>
  <w:style w:type="character" w:customStyle="1" w:styleId="40">
    <w:name w:val="Plain Text Char Char"/>
    <w:link w:val="41"/>
    <w:qFormat/>
    <w:uiPriority w:val="0"/>
    <w:rPr>
      <w:rFonts w:ascii="宋体" w:hAnsi="Courier New" w:eastAsia="楷体_GB2312" w:cs="宋体"/>
      <w:kern w:val="2"/>
      <w:sz w:val="28"/>
      <w:szCs w:val="21"/>
    </w:rPr>
  </w:style>
  <w:style w:type="paragraph" w:customStyle="1" w:styleId="41">
    <w:name w:val="Plain Text1"/>
    <w:basedOn w:val="1"/>
    <w:link w:val="40"/>
    <w:qFormat/>
    <w:uiPriority w:val="0"/>
    <w:pPr>
      <w:adjustRightInd w:val="0"/>
      <w:textAlignment w:val="baseline"/>
    </w:pPr>
    <w:rPr>
      <w:rFonts w:ascii="宋体" w:hAnsi="Courier New" w:eastAsia="楷体_GB2312"/>
      <w:sz w:val="28"/>
      <w:szCs w:val="21"/>
    </w:rPr>
  </w:style>
  <w:style w:type="character" w:customStyle="1" w:styleId="42">
    <w:name w:val="批注文字 字符"/>
    <w:link w:val="10"/>
    <w:qFormat/>
    <w:uiPriority w:val="0"/>
    <w:rPr>
      <w:kern w:val="2"/>
      <w:sz w:val="21"/>
      <w:szCs w:val="24"/>
      <w:lang w:bidi="ar-SA"/>
    </w:rPr>
  </w:style>
  <w:style w:type="character" w:customStyle="1" w:styleId="43">
    <w:name w:val="列表段落 字符"/>
    <w:link w:val="44"/>
    <w:qFormat/>
    <w:uiPriority w:val="34"/>
    <w:rPr>
      <w:kern w:val="2"/>
      <w:sz w:val="21"/>
      <w:szCs w:val="22"/>
    </w:rPr>
  </w:style>
  <w:style w:type="paragraph" w:styleId="44">
    <w:name w:val="List Paragraph"/>
    <w:basedOn w:val="1"/>
    <w:next w:val="17"/>
    <w:link w:val="43"/>
    <w:qFormat/>
    <w:uiPriority w:val="34"/>
    <w:pPr>
      <w:ind w:firstLine="420" w:firstLineChars="200"/>
    </w:pPr>
    <w:rPr>
      <w:szCs w:val="22"/>
    </w:rPr>
  </w:style>
  <w:style w:type="character" w:customStyle="1" w:styleId="45">
    <w:name w:val="jj1"/>
    <w:qFormat/>
    <w:uiPriority w:val="0"/>
    <w:rPr>
      <w:sz w:val="20"/>
      <w:szCs w:val="20"/>
      <w:u w:val="none"/>
    </w:rPr>
  </w:style>
  <w:style w:type="character" w:customStyle="1" w:styleId="46">
    <w:name w:val="页脚 字符"/>
    <w:link w:val="19"/>
    <w:qFormat/>
    <w:uiPriority w:val="99"/>
    <w:rPr>
      <w:kern w:val="2"/>
      <w:sz w:val="18"/>
      <w:lang w:bidi="ar-SA"/>
    </w:rPr>
  </w:style>
  <w:style w:type="character" w:customStyle="1" w:styleId="47">
    <w:name w:val="标题 2 字符"/>
    <w:link w:val="3"/>
    <w:qFormat/>
    <w:uiPriority w:val="0"/>
    <w:rPr>
      <w:rFonts w:ascii="Arial" w:hAnsi="Arial" w:eastAsia="幼圆"/>
      <w:b/>
      <w:kern w:val="2"/>
      <w:sz w:val="44"/>
      <w:lang w:bidi="ar-SA"/>
    </w:rPr>
  </w:style>
  <w:style w:type="character" w:customStyle="1" w:styleId="48">
    <w:name w:val="列出段落 Char1"/>
    <w:link w:val="49"/>
    <w:qFormat/>
    <w:uiPriority w:val="34"/>
    <w:rPr>
      <w:sz w:val="21"/>
      <w:szCs w:val="21"/>
    </w:rPr>
  </w:style>
  <w:style w:type="paragraph" w:customStyle="1" w:styleId="49">
    <w:name w:val="列出段落2"/>
    <w:basedOn w:val="1"/>
    <w:link w:val="48"/>
    <w:qFormat/>
    <w:uiPriority w:val="34"/>
    <w:pPr>
      <w:ind w:firstLine="420" w:firstLineChars="200"/>
    </w:pPr>
    <w:rPr>
      <w:kern w:val="0"/>
      <w:szCs w:val="21"/>
    </w:rPr>
  </w:style>
  <w:style w:type="character" w:customStyle="1" w:styleId="50">
    <w:name w:val="批注框文本 字符1"/>
    <w:link w:val="18"/>
    <w:qFormat/>
    <w:uiPriority w:val="0"/>
    <w:rPr>
      <w:kern w:val="2"/>
      <w:sz w:val="18"/>
      <w:szCs w:val="18"/>
    </w:rPr>
  </w:style>
  <w:style w:type="character" w:customStyle="1" w:styleId="51">
    <w:name w:val="标题2 Char"/>
    <w:qFormat/>
    <w:uiPriority w:val="0"/>
    <w:rPr>
      <w:rFonts w:ascii="方正楷体_GBK" w:hAnsi="Book Antiqua" w:eastAsia="方正楷体_GBK"/>
      <w:snapToGrid w:val="0"/>
      <w:sz w:val="32"/>
      <w:lang w:val="en-US" w:eastAsia="zh-CN" w:bidi="ar-SA"/>
    </w:rPr>
  </w:style>
  <w:style w:type="character" w:customStyle="1" w:styleId="52">
    <w:name w:val="列出段落 Char"/>
    <w:link w:val="53"/>
    <w:qFormat/>
    <w:locked/>
    <w:uiPriority w:val="0"/>
    <w:rPr>
      <w:rFonts w:ascii="Calibri" w:hAnsi="Calibri"/>
      <w:sz w:val="24"/>
      <w:szCs w:val="24"/>
      <w:lang w:eastAsia="en-US" w:bidi="en-US"/>
    </w:rPr>
  </w:style>
  <w:style w:type="paragraph" w:customStyle="1" w:styleId="53">
    <w:name w:val="列出段落1"/>
    <w:basedOn w:val="1"/>
    <w:link w:val="52"/>
    <w:qFormat/>
    <w:uiPriority w:val="34"/>
    <w:pPr>
      <w:widowControl/>
      <w:ind w:left="720"/>
      <w:contextualSpacing/>
      <w:jc w:val="left"/>
    </w:pPr>
    <w:rPr>
      <w:kern w:val="0"/>
      <w:sz w:val="24"/>
      <w:lang w:eastAsia="en-US" w:bidi="en-US"/>
    </w:rPr>
  </w:style>
  <w:style w:type="character" w:customStyle="1" w:styleId="54">
    <w:name w:val="纯文本 Char"/>
    <w:qFormat/>
    <w:uiPriority w:val="99"/>
    <w:rPr>
      <w:rFonts w:ascii="宋体" w:hAnsi="Courier New"/>
      <w:kern w:val="2"/>
      <w:sz w:val="21"/>
    </w:rPr>
  </w:style>
  <w:style w:type="character" w:customStyle="1" w:styleId="55">
    <w:name w:val="正文文本缩进 字符"/>
    <w:link w:val="13"/>
    <w:qFormat/>
    <w:uiPriority w:val="0"/>
    <w:rPr>
      <w:rFonts w:ascii="楷体_GB2312" w:eastAsia="楷体_GB2312"/>
      <w:kern w:val="2"/>
      <w:sz w:val="32"/>
      <w:lang w:bidi="ar-SA"/>
    </w:rPr>
  </w:style>
  <w:style w:type="character" w:customStyle="1" w:styleId="56">
    <w:name w:val="正文缩进 字符"/>
    <w:link w:val="4"/>
    <w:qFormat/>
    <w:uiPriority w:val="0"/>
    <w:rPr>
      <w:rFonts w:eastAsia="宋体"/>
      <w:kern w:val="2"/>
      <w:sz w:val="21"/>
      <w:lang w:val="en-US" w:eastAsia="zh-CN" w:bidi="ar-SA"/>
    </w:rPr>
  </w:style>
  <w:style w:type="character" w:customStyle="1" w:styleId="57">
    <w:name w:val="批注主题 字符"/>
    <w:link w:val="26"/>
    <w:qFormat/>
    <w:uiPriority w:val="0"/>
    <w:rPr>
      <w:b/>
      <w:bCs/>
      <w:kern w:val="2"/>
      <w:sz w:val="21"/>
      <w:szCs w:val="24"/>
      <w:lang w:bidi="ar-SA"/>
    </w:rPr>
  </w:style>
  <w:style w:type="paragraph" w:customStyle="1" w:styleId="58">
    <w:name w:val="Char"/>
    <w:basedOn w:val="1"/>
    <w:qFormat/>
    <w:uiPriority w:val="0"/>
    <w:pPr>
      <w:tabs>
        <w:tab w:val="left" w:pos="360"/>
      </w:tabs>
    </w:pPr>
    <w:rPr>
      <w:sz w:val="24"/>
    </w:rPr>
  </w:style>
  <w:style w:type="paragraph" w:customStyle="1" w:styleId="59">
    <w:name w:val="空行"/>
    <w:basedOn w:val="1"/>
    <w:next w:val="1"/>
    <w:qFormat/>
    <w:uiPriority w:val="0"/>
    <w:pPr>
      <w:snapToGrid w:val="0"/>
      <w:spacing w:line="360" w:lineRule="atLeast"/>
      <w:jc w:val="center"/>
    </w:pPr>
    <w:rPr>
      <w:spacing w:val="20"/>
      <w:sz w:val="24"/>
      <w:szCs w:val="20"/>
    </w:rPr>
  </w:style>
  <w:style w:type="paragraph" w:customStyle="1" w:styleId="60">
    <w:name w:val="正文内容"/>
    <w:basedOn w:val="1"/>
    <w:qFormat/>
    <w:uiPriority w:val="99"/>
    <w:pPr>
      <w:adjustRightInd w:val="0"/>
      <w:spacing w:line="360" w:lineRule="auto"/>
      <w:ind w:firstLine="200" w:firstLineChars="200"/>
    </w:pPr>
    <w:rPr>
      <w:sz w:val="24"/>
    </w:rPr>
  </w:style>
  <w:style w:type="paragraph" w:customStyle="1" w:styleId="61">
    <w:name w:val="DAS正文"/>
    <w:basedOn w:val="1"/>
    <w:qFormat/>
    <w:uiPriority w:val="0"/>
    <w:pPr>
      <w:spacing w:line="360" w:lineRule="auto"/>
      <w:ind w:right="181" w:firstLine="480"/>
    </w:pPr>
    <w:rPr>
      <w:rFonts w:ascii="Verdana" w:hAnsi="Verdana"/>
    </w:rPr>
  </w:style>
  <w:style w:type="paragraph" w:customStyle="1" w:styleId="62">
    <w:name w:val="Char Char Char Char"/>
    <w:basedOn w:val="9"/>
    <w:qFormat/>
    <w:uiPriority w:val="0"/>
    <w:pPr>
      <w:adjustRightInd w:val="0"/>
      <w:snapToGrid w:val="0"/>
      <w:spacing w:line="360" w:lineRule="auto"/>
    </w:pPr>
    <w:rPr>
      <w:rFonts w:ascii="Tahoma" w:hAnsi="Tahoma"/>
      <w:sz w:val="24"/>
    </w:rPr>
  </w:style>
  <w:style w:type="paragraph" w:customStyle="1" w:styleId="63">
    <w:name w:val="_正文段落"/>
    <w:basedOn w:val="1"/>
    <w:qFormat/>
    <w:uiPriority w:val="0"/>
    <w:pPr>
      <w:spacing w:beforeLines="15" w:afterLines="15" w:line="360" w:lineRule="auto"/>
      <w:ind w:firstLine="200" w:firstLineChars="200"/>
    </w:pPr>
    <w:rPr>
      <w:kern w:val="0"/>
      <w:sz w:val="24"/>
    </w:rPr>
  </w:style>
  <w:style w:type="paragraph" w:customStyle="1" w:styleId="64">
    <w:name w:val="标题 5（有编号）（绿盟科技）"/>
    <w:basedOn w:val="1"/>
    <w:next w:val="6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6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66">
    <w:name w:val="BioQuote Tekst"/>
    <w:basedOn w:val="1"/>
    <w:qFormat/>
    <w:uiPriority w:val="0"/>
    <w:pPr>
      <w:ind w:right="-1"/>
    </w:pPr>
    <w:rPr>
      <w:rFonts w:ascii="Arial" w:hAnsi="Arial"/>
      <w:snapToGrid w:val="0"/>
      <w:kern w:val="0"/>
      <w:sz w:val="22"/>
      <w:szCs w:val="20"/>
      <w:lang w:eastAsia="en-US"/>
    </w:rPr>
  </w:style>
  <w:style w:type="paragraph" w:customStyle="1" w:styleId="67">
    <w:name w:val="正文 第一章"/>
    <w:basedOn w:val="1"/>
    <w:next w:val="68"/>
    <w:qFormat/>
    <w:uiPriority w:val="0"/>
    <w:pPr>
      <w:pageBreakBefore/>
      <w:numPr>
        <w:ilvl w:val="0"/>
        <w:numId w:val="2"/>
      </w:numPr>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68">
    <w:name w:val="正文 1.1"/>
    <w:basedOn w:val="1"/>
    <w:next w:val="69"/>
    <w:qFormat/>
    <w:uiPriority w:val="0"/>
    <w:pPr>
      <w:numPr>
        <w:ilvl w:val="1"/>
        <w:numId w:val="2"/>
      </w:numPr>
      <w:tabs>
        <w:tab w:val="clear" w:pos="851"/>
      </w:tabs>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69">
    <w:name w:val="正文 1.1.1"/>
    <w:basedOn w:val="1"/>
    <w:next w:val="1"/>
    <w:qFormat/>
    <w:uiPriority w:val="0"/>
    <w:pPr>
      <w:numPr>
        <w:ilvl w:val="2"/>
        <w:numId w:val="2"/>
      </w:numPr>
      <w:adjustRightInd w:val="0"/>
      <w:spacing w:line="360" w:lineRule="auto"/>
      <w:textAlignment w:val="baseline"/>
      <w:outlineLvl w:val="2"/>
    </w:pPr>
    <w:rPr>
      <w:rFonts w:ascii="宋体" w:hAnsi="宋体"/>
      <w:color w:val="000000"/>
      <w:kern w:val="0"/>
      <w:sz w:val="28"/>
      <w:szCs w:val="21"/>
    </w:rPr>
  </w:style>
  <w:style w:type="paragraph" w:customStyle="1" w:styleId="7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71">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72">
    <w:name w:val="xl47"/>
    <w:basedOn w:val="1"/>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73">
    <w:name w:val="WPSOffice手动目录 1"/>
    <w:qFormat/>
    <w:uiPriority w:val="0"/>
    <w:rPr>
      <w:rFonts w:ascii="Calibri" w:hAnsi="Calibri" w:eastAsia="宋体" w:cs="Times New Roman"/>
      <w:lang w:val="en-US" w:eastAsia="zh-CN" w:bidi="ar-SA"/>
    </w:rPr>
  </w:style>
  <w:style w:type="paragraph" w:customStyle="1" w:styleId="74">
    <w:name w:val="附录1"/>
    <w:qFormat/>
    <w:uiPriority w:val="0"/>
    <w:pPr>
      <w:numPr>
        <w:ilvl w:val="0"/>
        <w:numId w:val="3"/>
      </w:numPr>
      <w:snapToGrid w:val="0"/>
      <w:spacing w:before="240" w:line="600" w:lineRule="atLeast"/>
    </w:pPr>
    <w:rPr>
      <w:rFonts w:ascii="Calibri" w:hAnsi="Calibri" w:eastAsia="宋体" w:cs="Times New Roman"/>
      <w:b/>
      <w:i/>
      <w:sz w:val="28"/>
      <w:lang w:val="en-US" w:eastAsia="zh-CN" w:bidi="ar-SA"/>
    </w:rPr>
  </w:style>
  <w:style w:type="paragraph" w:customStyle="1" w:styleId="75">
    <w:name w:val="xl27"/>
    <w:basedOn w:val="1"/>
    <w:qFormat/>
    <w:uiPriority w:val="0"/>
    <w:pPr>
      <w:widowControl/>
      <w:spacing w:before="100" w:beforeAutospacing="1" w:after="100" w:afterAutospacing="1"/>
      <w:jc w:val="center"/>
      <w:textAlignment w:val="center"/>
    </w:pPr>
    <w:rPr>
      <w:rFonts w:hint="eastAsia" w:ascii="黑体" w:hAnsi="宋体" w:eastAsia="黑体"/>
      <w:kern w:val="0"/>
      <w:sz w:val="28"/>
      <w:szCs w:val="28"/>
    </w:rPr>
  </w:style>
  <w:style w:type="paragraph" w:customStyle="1" w:styleId="76">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77">
    <w:name w:val="正文1"/>
    <w:basedOn w:val="1"/>
    <w:qFormat/>
    <w:uiPriority w:val="0"/>
    <w:pPr>
      <w:widowControl/>
      <w:spacing w:after="200" w:line="300" w:lineRule="atLeast"/>
      <w:jc w:val="left"/>
    </w:pPr>
    <w:rPr>
      <w:kern w:val="0"/>
      <w:sz w:val="22"/>
    </w:rPr>
  </w:style>
  <w:style w:type="paragraph" w:customStyle="1" w:styleId="78">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79">
    <w:name w:val="纯文本3"/>
    <w:basedOn w:val="1"/>
    <w:qFormat/>
    <w:uiPriority w:val="0"/>
    <w:pPr>
      <w:adjustRightInd w:val="0"/>
    </w:pPr>
    <w:rPr>
      <w:rFonts w:hint="eastAsia" w:ascii="宋体" w:hAnsi="Courier New" w:eastAsia="楷体_GB2312"/>
      <w:sz w:val="28"/>
      <w:szCs w:val="20"/>
    </w:rPr>
  </w:style>
  <w:style w:type="paragraph" w:customStyle="1" w:styleId="80">
    <w:name w:val="Char Char Char Char1 Char Char Char"/>
    <w:basedOn w:val="9"/>
    <w:qFormat/>
    <w:uiPriority w:val="0"/>
    <w:pPr>
      <w:adjustRightInd w:val="0"/>
      <w:snapToGrid w:val="0"/>
      <w:spacing w:line="360" w:lineRule="auto"/>
    </w:pPr>
    <w:rPr>
      <w:rFonts w:ascii="Tahoma" w:hAnsi="Tahoma"/>
      <w:sz w:val="24"/>
    </w:rPr>
  </w:style>
  <w:style w:type="paragraph" w:customStyle="1" w:styleId="81">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82">
    <w:name w:val="图片表格"/>
    <w:basedOn w:val="1"/>
    <w:qFormat/>
    <w:uiPriority w:val="6"/>
    <w:pPr>
      <w:adjustRightInd w:val="0"/>
      <w:jc w:val="center"/>
    </w:pPr>
  </w:style>
  <w:style w:type="paragraph" w:customStyle="1" w:styleId="83">
    <w:name w:val="二级目录"/>
    <w:next w:val="1"/>
    <w:qFormat/>
    <w:uiPriority w:val="99"/>
    <w:pPr>
      <w:tabs>
        <w:tab w:val="left" w:pos="720"/>
      </w:tabs>
      <w:ind w:left="567" w:hanging="567"/>
      <w:outlineLvl w:val="1"/>
    </w:pPr>
    <w:rPr>
      <w:rFonts w:ascii="Calibri" w:hAnsi="Calibri" w:eastAsia="宋体" w:cs="Times New Roman"/>
      <w:b/>
      <w:kern w:val="2"/>
      <w:sz w:val="30"/>
      <w:szCs w:val="28"/>
      <w:lang w:val="en-US" w:eastAsia="zh-CN" w:bidi="ar-SA"/>
    </w:rPr>
  </w:style>
  <w:style w:type="paragraph" w:customStyle="1" w:styleId="84">
    <w:name w:val="图表文字"/>
    <w:qFormat/>
    <w:uiPriority w:val="0"/>
    <w:rPr>
      <w:rFonts w:ascii="Calibri" w:hAnsi="Calibri" w:eastAsia="宋体" w:cs="Times New Roman"/>
      <w:sz w:val="21"/>
      <w:szCs w:val="21"/>
      <w:lang w:val="en-US" w:eastAsia="zh-CN" w:bidi="ar-SA"/>
    </w:rPr>
  </w:style>
  <w:style w:type="paragraph" w:customStyle="1" w:styleId="85">
    <w:name w:val="Char1"/>
    <w:basedOn w:val="1"/>
    <w:qFormat/>
    <w:uiPriority w:val="0"/>
    <w:rPr>
      <w:rFonts w:ascii="Tahoma" w:hAnsi="Tahoma"/>
      <w:snapToGrid w:val="0"/>
      <w:sz w:val="24"/>
      <w:szCs w:val="20"/>
    </w:rPr>
  </w:style>
  <w:style w:type="paragraph" w:customStyle="1" w:styleId="86">
    <w:name w:val="Coms Alinea"/>
    <w:qFormat/>
    <w:uiPriority w:val="0"/>
    <w:pPr>
      <w:widowControl w:val="0"/>
    </w:pPr>
    <w:rPr>
      <w:rFonts w:ascii="Arial" w:hAnsi="Arial" w:eastAsia="宋体" w:cs="Arial"/>
      <w:lang w:val="en-US" w:eastAsia="zh-CN" w:bidi="ar-SA"/>
    </w:rPr>
  </w:style>
  <w:style w:type="paragraph" w:customStyle="1" w:styleId="87">
    <w:name w:val="_正文"/>
    <w:basedOn w:val="1"/>
    <w:qFormat/>
    <w:uiPriority w:val="0"/>
    <w:pPr>
      <w:spacing w:line="360" w:lineRule="auto"/>
    </w:pPr>
    <w:rPr>
      <w:kern w:val="0"/>
      <w:sz w:val="24"/>
    </w:rPr>
  </w:style>
  <w:style w:type="paragraph" w:customStyle="1" w:styleId="88">
    <w:name w:val="__正文"/>
    <w:basedOn w:val="87"/>
    <w:next w:val="87"/>
    <w:qFormat/>
    <w:uiPriority w:val="0"/>
    <w:rPr>
      <w:sz w:val="21"/>
    </w:rPr>
  </w:style>
  <w:style w:type="paragraph" w:customStyle="1" w:styleId="89">
    <w:name w:val="标题2"/>
    <w:basedOn w:val="1"/>
    <w:next w:val="1"/>
    <w:qFormat/>
    <w:uiPriority w:val="0"/>
    <w:pPr>
      <w:jc w:val="center"/>
    </w:pPr>
    <w:rPr>
      <w:rFonts w:eastAsia="方正楷体_GBK"/>
    </w:rPr>
  </w:style>
  <w:style w:type="paragraph" w:customStyle="1" w:styleId="90">
    <w:name w:val="标题3"/>
    <w:basedOn w:val="1"/>
    <w:next w:val="1"/>
    <w:qFormat/>
    <w:uiPriority w:val="0"/>
    <w:rPr>
      <w:rFonts w:eastAsia="方正黑体_GBK"/>
    </w:rPr>
  </w:style>
  <w:style w:type="paragraph" w:customStyle="1" w:styleId="91">
    <w:name w:val="Char Char Char Char1 Char Char"/>
    <w:basedOn w:val="1"/>
    <w:qFormat/>
    <w:uiPriority w:val="0"/>
    <w:pPr>
      <w:tabs>
        <w:tab w:val="left" w:pos="360"/>
      </w:tabs>
    </w:pPr>
    <w:rPr>
      <w:sz w:val="24"/>
    </w:rPr>
  </w:style>
  <w:style w:type="paragraph" w:customStyle="1" w:styleId="92">
    <w:name w:val="默认段落字体 Para Char Char Char Char Char Char Char Char Char1 Char Char Char Char Char Char Char"/>
    <w:basedOn w:val="9"/>
    <w:qFormat/>
    <w:uiPriority w:val="0"/>
    <w:rPr>
      <w:rFonts w:ascii="Tahoma" w:hAnsi="Tahoma"/>
      <w:sz w:val="24"/>
    </w:rPr>
  </w:style>
  <w:style w:type="paragraph" w:customStyle="1" w:styleId="9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94">
    <w:name w:val="简单回函地址"/>
    <w:basedOn w:val="1"/>
    <w:qFormat/>
    <w:uiPriority w:val="0"/>
    <w:rPr>
      <w:rFonts w:cs="宋体"/>
      <w:szCs w:val="21"/>
    </w:rPr>
  </w:style>
  <w:style w:type="paragraph" w:customStyle="1" w:styleId="95">
    <w:name w:val="第四级"/>
    <w:basedOn w:val="1"/>
    <w:next w:val="1"/>
    <w:qFormat/>
    <w:uiPriority w:val="0"/>
    <w:pPr>
      <w:numPr>
        <w:ilvl w:val="3"/>
        <w:numId w:val="2"/>
      </w:numPr>
      <w:adjustRightInd w:val="0"/>
      <w:spacing w:line="360" w:lineRule="auto"/>
      <w:textAlignment w:val="baseline"/>
    </w:pPr>
    <w:rPr>
      <w:rFonts w:ascii="宋体" w:hAnsi="宋体" w:eastAsia="仿宋"/>
      <w:kern w:val="0"/>
      <w:sz w:val="28"/>
      <w:szCs w:val="21"/>
    </w:rPr>
  </w:style>
  <w:style w:type="paragraph" w:customStyle="1" w:styleId="96">
    <w:name w:val="正文 正文"/>
    <w:basedOn w:val="1"/>
    <w:qFormat/>
    <w:uiPriority w:val="0"/>
    <w:pPr>
      <w:spacing w:beforeLines="50" w:line="360" w:lineRule="auto"/>
      <w:ind w:firstLine="480" w:firstLineChars="200"/>
    </w:pPr>
    <w:rPr>
      <w:rFonts w:ascii="Times New Roman" w:hAnsi="Times New Roman"/>
      <w:sz w:val="24"/>
    </w:rPr>
  </w:style>
  <w:style w:type="paragraph" w:customStyle="1" w:styleId="97">
    <w:name w:val="Table Text"/>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9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3055</Words>
  <Characters>17416</Characters>
  <Lines>145</Lines>
  <Paragraphs>40</Paragraphs>
  <TotalTime>133</TotalTime>
  <ScaleCrop>false</ScaleCrop>
  <LinksUpToDate>false</LinksUpToDate>
  <CharactersWithSpaces>20431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2023-11-11T13:48:00Z</dcterms:created>
  <dc:creator>hhh</dc:creator>
  <cp:lastModifiedBy>WPS_1685688578</cp:lastModifiedBy>
  <cp:lastPrinted>2019-11-01T03:50:00Z</cp:lastPrinted>
  <dcterms:modified xsi:type="dcterms:W3CDTF">2023-11-13T12:36:06Z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628C2D64E6C048678760A44732923A1B_13</vt:lpwstr>
  </property>
</Properties>
</file>