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eastAsia="华文中宋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eastAsia="华文中宋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eastAsia="华文中宋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eastAsia="华文中宋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eastAsia="华文中宋"/>
          <w:kern w:val="0"/>
          <w:sz w:val="44"/>
          <w:szCs w:val="44"/>
        </w:rPr>
      </w:pPr>
    </w:p>
    <w:p>
      <w:pPr>
        <w:widowControl/>
        <w:spacing w:line="580" w:lineRule="exact"/>
        <w:jc w:val="center"/>
        <w:rPr>
          <w:rFonts w:eastAsia="仿宋_GB2312"/>
          <w:kern w:val="0"/>
          <w:sz w:val="32"/>
          <w:szCs w:val="32"/>
        </w:rPr>
      </w:pPr>
      <w:r>
        <w:rPr>
          <w:rFonts w:hint="eastAsia" w:eastAsia="仿宋_GB2312" w:cs="仿宋_GB2312"/>
          <w:kern w:val="0"/>
          <w:sz w:val="32"/>
          <w:szCs w:val="32"/>
        </w:rPr>
        <w:t>泰农办〔</w:t>
      </w:r>
      <w:r>
        <w:rPr>
          <w:rFonts w:eastAsia="仿宋_GB2312"/>
          <w:kern w:val="0"/>
          <w:sz w:val="32"/>
          <w:szCs w:val="32"/>
        </w:rPr>
        <w:t>202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eastAsia="仿宋_GB2312" w:cs="仿宋_GB2312"/>
          <w:kern w:val="0"/>
          <w:sz w:val="32"/>
          <w:szCs w:val="32"/>
        </w:rPr>
        <w:t>〕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41</w:t>
      </w:r>
      <w:r>
        <w:rPr>
          <w:rFonts w:hint="eastAsia" w:eastAsia="仿宋_GB2312" w:cs="仿宋_GB2312"/>
          <w:kern w:val="0"/>
          <w:sz w:val="32"/>
          <w:szCs w:val="32"/>
        </w:rPr>
        <w:t>号</w:t>
      </w:r>
    </w:p>
    <w:p>
      <w:pPr>
        <w:widowControl/>
        <w:spacing w:line="900" w:lineRule="exact"/>
        <w:jc w:val="center"/>
        <w:rPr>
          <w:rFonts w:eastAsia="仿宋_GB2312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泰州市农业农村局关于公布202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市级</w:t>
      </w: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数字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农业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农村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基地名单的通知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eastAsia="仿宋"/>
          <w:sz w:val="32"/>
          <w:szCs w:val="32"/>
        </w:rPr>
      </w:pPr>
      <w:r>
        <w:rPr>
          <w:rFonts w:hint="eastAsia" w:hAnsi="仿宋" w:eastAsia="仿宋" w:cs="仿宋"/>
          <w:sz w:val="32"/>
          <w:szCs w:val="32"/>
        </w:rPr>
        <w:t>各市（区）农业农村局：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"/>
          <w:sz w:val="32"/>
          <w:szCs w:val="32"/>
        </w:rPr>
      </w:pPr>
      <w:r>
        <w:rPr>
          <w:rFonts w:hint="eastAsia" w:hAnsi="仿宋" w:eastAsia="仿宋" w:cs="仿宋"/>
          <w:sz w:val="32"/>
          <w:szCs w:val="32"/>
          <w:lang w:eastAsia="zh-CN"/>
        </w:rPr>
        <w:t>近年来，全市各地认真贯彻落实国家数字乡村发展战略，深入实施智慧农业升级赋能行动，持续推进农业农村数字技术应用创新，培育打造一批信息化建设新载体新模式新典型，有力推动全市数字农业农村高质量发展。</w:t>
      </w:r>
      <w:r>
        <w:rPr>
          <w:rFonts w:hint="eastAsia" w:hAnsi="仿宋" w:eastAsia="仿宋" w:cs="仿宋"/>
          <w:sz w:val="32"/>
          <w:szCs w:val="32"/>
        </w:rPr>
        <w:t>根据《泰州市农业农村局关于开展</w:t>
      </w:r>
      <w:r>
        <w:rPr>
          <w:rFonts w:hint="eastAsia" w:hAnsi="仿宋" w:eastAsia="仿宋" w:cs="仿宋"/>
          <w:sz w:val="32"/>
          <w:szCs w:val="32"/>
          <w:lang w:eastAsia="zh-CN"/>
        </w:rPr>
        <w:t>数字</w:t>
      </w:r>
      <w:r>
        <w:rPr>
          <w:rFonts w:hint="eastAsia" w:hAnsi="仿宋" w:eastAsia="仿宋" w:cs="仿宋"/>
          <w:sz w:val="32"/>
          <w:szCs w:val="32"/>
        </w:rPr>
        <w:t>农业</w:t>
      </w:r>
      <w:r>
        <w:rPr>
          <w:rFonts w:hint="eastAsia" w:hAnsi="仿宋" w:eastAsia="仿宋" w:cs="仿宋"/>
          <w:sz w:val="32"/>
          <w:szCs w:val="32"/>
          <w:lang w:eastAsia="zh-CN"/>
        </w:rPr>
        <w:t>农村基地申报</w:t>
      </w:r>
      <w:r>
        <w:rPr>
          <w:rFonts w:hint="eastAsia" w:hAnsi="仿宋" w:eastAsia="仿宋" w:cs="仿宋"/>
          <w:sz w:val="32"/>
          <w:szCs w:val="32"/>
        </w:rPr>
        <w:t>认定工作的通知》（泰农办〔</w:t>
      </w:r>
      <w:r>
        <w:rPr>
          <w:rFonts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  <w:lang w:val="en-US" w:eastAsia="zh-CN"/>
        </w:rPr>
        <w:t>1</w:t>
      </w:r>
      <w:r>
        <w:rPr>
          <w:rFonts w:hint="eastAsia" w:hAnsi="仿宋" w:eastAsia="仿宋" w:cs="仿宋"/>
          <w:sz w:val="32"/>
          <w:szCs w:val="32"/>
        </w:rPr>
        <w:t>〕</w:t>
      </w:r>
      <w:r>
        <w:rPr>
          <w:rFonts w:hint="eastAsia" w:eastAsia="仿宋"/>
          <w:sz w:val="32"/>
          <w:szCs w:val="32"/>
          <w:lang w:val="en-US" w:eastAsia="zh-CN"/>
        </w:rPr>
        <w:t>23</w:t>
      </w:r>
      <w:r>
        <w:rPr>
          <w:rFonts w:hint="eastAsia" w:hAnsi="仿宋" w:eastAsia="仿宋" w:cs="仿宋"/>
          <w:sz w:val="32"/>
          <w:szCs w:val="32"/>
        </w:rPr>
        <w:t>号）要求，</w:t>
      </w:r>
      <w:r>
        <w:rPr>
          <w:rFonts w:hint="eastAsia" w:hAnsi="仿宋" w:eastAsia="仿宋" w:cs="仿宋"/>
          <w:sz w:val="32"/>
          <w:szCs w:val="32"/>
          <w:lang w:eastAsia="zh-CN"/>
        </w:rPr>
        <w:t>各地农业农村部门组织开展了市级数字农业农村基地遴选工作，</w:t>
      </w:r>
      <w:r>
        <w:rPr>
          <w:rFonts w:hint="eastAsia" w:hAnsi="仿宋" w:eastAsia="仿宋" w:cs="仿宋"/>
          <w:sz w:val="32"/>
          <w:szCs w:val="32"/>
        </w:rPr>
        <w:t>经各有关单位申报、市（区）农业部门审核推荐，市农业农村局组织</w:t>
      </w:r>
      <w:r>
        <w:rPr>
          <w:rFonts w:hint="eastAsia" w:hAnsi="仿宋" w:eastAsia="仿宋" w:cs="仿宋"/>
          <w:sz w:val="32"/>
          <w:szCs w:val="32"/>
          <w:lang w:eastAsia="zh-CN"/>
        </w:rPr>
        <w:t>专家集中</w:t>
      </w:r>
      <w:r>
        <w:rPr>
          <w:rFonts w:hint="eastAsia" w:hAnsi="仿宋" w:eastAsia="仿宋" w:cs="仿宋"/>
          <w:sz w:val="32"/>
          <w:szCs w:val="32"/>
        </w:rPr>
        <w:t>评审并网上公示，确定</w:t>
      </w:r>
      <w:r>
        <w:rPr>
          <w:rFonts w:hint="eastAsia" w:ascii="仿宋" w:hAnsi="仿宋" w:eastAsia="仿宋" w:cs="仿宋"/>
          <w:sz w:val="32"/>
          <w:szCs w:val="32"/>
        </w:rPr>
        <w:t>江苏菇本堂生物科技股份有限公司</w:t>
      </w:r>
      <w:r>
        <w:rPr>
          <w:rFonts w:hint="eastAsia" w:hAnsi="仿宋" w:eastAsia="仿宋" w:cs="仿宋"/>
          <w:sz w:val="32"/>
          <w:szCs w:val="32"/>
        </w:rPr>
        <w:t>等</w:t>
      </w:r>
      <w:r>
        <w:rPr>
          <w:rFonts w:hint="eastAsia" w:eastAsia="仿宋"/>
          <w:sz w:val="32"/>
          <w:szCs w:val="32"/>
          <w:lang w:val="en-US" w:eastAsia="zh-CN"/>
        </w:rPr>
        <w:t>24</w:t>
      </w:r>
      <w:r>
        <w:rPr>
          <w:rFonts w:hint="eastAsia" w:hAnsi="仿宋" w:eastAsia="仿宋" w:cs="仿宋"/>
          <w:sz w:val="32"/>
          <w:szCs w:val="32"/>
          <w:lang w:eastAsia="zh-CN"/>
        </w:rPr>
        <w:t>家单位</w:t>
      </w:r>
      <w:r>
        <w:rPr>
          <w:rFonts w:hint="eastAsia" w:hAnsi="仿宋" w:eastAsia="仿宋" w:cs="仿宋"/>
          <w:sz w:val="32"/>
          <w:szCs w:val="32"/>
        </w:rPr>
        <w:t>为</w:t>
      </w:r>
      <w:r>
        <w:rPr>
          <w:rFonts w:eastAsia="仿宋"/>
          <w:sz w:val="32"/>
          <w:szCs w:val="32"/>
        </w:rPr>
        <w:t>202</w:t>
      </w:r>
      <w:r>
        <w:rPr>
          <w:rFonts w:hint="eastAsia" w:eastAsia="仿宋"/>
          <w:sz w:val="32"/>
          <w:szCs w:val="32"/>
          <w:lang w:val="en-US" w:eastAsia="zh-CN"/>
        </w:rPr>
        <w:t>1</w:t>
      </w:r>
      <w:r>
        <w:rPr>
          <w:rFonts w:hint="eastAsia" w:hAnsi="仿宋" w:eastAsia="仿宋" w:cs="仿宋"/>
          <w:sz w:val="32"/>
          <w:szCs w:val="32"/>
        </w:rPr>
        <w:t>年</w:t>
      </w:r>
      <w:r>
        <w:rPr>
          <w:rFonts w:hint="eastAsia" w:hAnsi="仿宋" w:eastAsia="仿宋" w:cs="仿宋"/>
          <w:sz w:val="32"/>
          <w:szCs w:val="32"/>
          <w:lang w:eastAsia="zh-CN"/>
        </w:rPr>
        <w:t>市级数字农业农村基地（名单见附件），现予公布</w:t>
      </w:r>
      <w:r>
        <w:rPr>
          <w:rFonts w:hint="eastAsia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eastAsia="仿宋"/>
          <w:sz w:val="32"/>
          <w:szCs w:val="32"/>
        </w:rPr>
      </w:pPr>
      <w:r>
        <w:rPr>
          <w:rFonts w:hint="eastAsia" w:hAnsi="仿宋" w:eastAsia="仿宋" w:cs="仿宋"/>
          <w:sz w:val="32"/>
          <w:szCs w:val="32"/>
        </w:rPr>
        <w:t>各基地要以此为契机，</w:t>
      </w:r>
      <w:r>
        <w:rPr>
          <w:rFonts w:hint="eastAsia" w:hAnsi="仿宋" w:eastAsia="仿宋" w:cs="仿宋"/>
          <w:sz w:val="32"/>
          <w:szCs w:val="32"/>
          <w:lang w:eastAsia="zh-CN"/>
        </w:rPr>
        <w:t>再接再厉，开拓创新</w:t>
      </w:r>
      <w:r>
        <w:rPr>
          <w:rFonts w:hint="eastAsia" w:hAnsi="仿宋" w:eastAsia="仿宋" w:cs="仿宋"/>
          <w:sz w:val="32"/>
          <w:szCs w:val="32"/>
        </w:rPr>
        <w:t>，进一步</w:t>
      </w:r>
      <w:r>
        <w:rPr>
          <w:rFonts w:hint="eastAsia" w:hAnsi="仿宋" w:eastAsia="仿宋" w:cs="仿宋"/>
          <w:sz w:val="32"/>
          <w:szCs w:val="32"/>
          <w:lang w:eastAsia="zh-CN"/>
        </w:rPr>
        <w:t>提升信息化建设应用水平，并发挥典型带动作用，将好经验好模式进行推广，充分展示农业农村现代化新成效。各级农业农村部门要加强政策扶持，加大资金投入，加快探索生产智能化、经营网络化、管理高效化、服务便捷化发展新路径，为推动全面乡村振兴和</w:t>
      </w:r>
      <w:r>
        <w:rPr>
          <w:rFonts w:hint="eastAsia" w:hAnsi="仿宋" w:eastAsia="仿宋" w:cs="仿宋"/>
          <w:sz w:val="32"/>
          <w:szCs w:val="32"/>
        </w:rPr>
        <w:t>农业</w:t>
      </w:r>
      <w:r>
        <w:rPr>
          <w:rFonts w:hint="eastAsia" w:hAnsi="仿宋" w:eastAsia="仿宋" w:cs="仿宋"/>
          <w:sz w:val="32"/>
          <w:szCs w:val="32"/>
          <w:lang w:eastAsia="zh-CN"/>
        </w:rPr>
        <w:t>农村现代化作出更大的贡献</w:t>
      </w:r>
      <w:r>
        <w:rPr>
          <w:rFonts w:hint="eastAsia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38" w:leftChars="304" w:hanging="800" w:hangingChars="250"/>
        <w:textAlignment w:val="auto"/>
        <w:rPr>
          <w:rFonts w:hint="eastAsia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38" w:leftChars="304" w:hanging="800" w:hangingChars="250"/>
        <w:textAlignment w:val="auto"/>
        <w:rPr>
          <w:rFonts w:hint="eastAsia" w:hAnsi="仿宋" w:eastAsia="仿宋" w:cs="仿宋"/>
          <w:sz w:val="32"/>
          <w:szCs w:val="32"/>
        </w:rPr>
      </w:pPr>
      <w:r>
        <w:rPr>
          <w:rFonts w:hint="eastAsia" w:hAnsi="仿宋" w:eastAsia="仿宋" w:cs="仿宋"/>
          <w:sz w:val="32"/>
          <w:szCs w:val="32"/>
        </w:rPr>
        <w:t>附件：202</w:t>
      </w:r>
      <w:r>
        <w:rPr>
          <w:rFonts w:hint="eastAsia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hAnsi="仿宋" w:eastAsia="仿宋" w:cs="仿宋"/>
          <w:sz w:val="32"/>
          <w:szCs w:val="32"/>
        </w:rPr>
        <w:t>年市级</w:t>
      </w:r>
      <w:r>
        <w:rPr>
          <w:rFonts w:hint="eastAsia" w:hAnsi="仿宋" w:eastAsia="仿宋" w:cs="仿宋"/>
          <w:sz w:val="32"/>
          <w:szCs w:val="32"/>
          <w:lang w:eastAsia="zh-CN"/>
        </w:rPr>
        <w:t>数字农业农村基地</w:t>
      </w:r>
      <w:r>
        <w:rPr>
          <w:rFonts w:hint="eastAsia" w:hAnsi="仿宋" w:eastAsia="仿宋" w:cs="仿宋"/>
          <w:sz w:val="32"/>
          <w:szCs w:val="32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38" w:leftChars="304" w:hanging="800" w:hangingChars="250"/>
        <w:textAlignment w:val="auto"/>
        <w:rPr>
          <w:rFonts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38" w:leftChars="304" w:hanging="800" w:hangingChars="250"/>
        <w:textAlignment w:val="auto"/>
        <w:rPr>
          <w:rFonts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38" w:leftChars="304" w:hanging="800" w:hangingChars="250"/>
        <w:textAlignment w:val="auto"/>
        <w:rPr>
          <w:rFonts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38" w:leftChars="304" w:hanging="800" w:hangingChars="250"/>
        <w:textAlignment w:val="auto"/>
        <w:rPr>
          <w:rFonts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38" w:leftChars="304" w:hanging="800" w:hangingChars="250"/>
        <w:textAlignment w:val="auto"/>
        <w:rPr>
          <w:rFonts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    </w:t>
      </w:r>
      <w:r>
        <w:rPr>
          <w:rFonts w:hint="eastAsia" w:hAnsi="仿宋" w:eastAsia="仿宋" w:cs="仿宋"/>
          <w:sz w:val="32"/>
          <w:szCs w:val="32"/>
        </w:rPr>
        <w:t>泰州市农业农村局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                           202</w:t>
      </w:r>
      <w:r>
        <w:rPr>
          <w:rFonts w:hint="eastAsia" w:eastAsia="仿宋"/>
          <w:sz w:val="32"/>
          <w:szCs w:val="32"/>
          <w:lang w:val="en-US" w:eastAsia="zh-CN"/>
        </w:rPr>
        <w:t>1</w:t>
      </w:r>
      <w:r>
        <w:rPr>
          <w:rFonts w:hint="eastAsia" w:hAnsi="仿宋" w:eastAsia="仿宋" w:cs="仿宋"/>
          <w:sz w:val="32"/>
          <w:szCs w:val="32"/>
        </w:rPr>
        <w:t>年</w:t>
      </w:r>
      <w:r>
        <w:rPr>
          <w:rFonts w:eastAsia="仿宋"/>
          <w:sz w:val="32"/>
          <w:szCs w:val="32"/>
        </w:rPr>
        <w:t>12</w:t>
      </w:r>
      <w:r>
        <w:rPr>
          <w:rFonts w:hint="eastAsia" w:hAnsi="仿宋" w:eastAsia="仿宋" w:cs="仿宋"/>
          <w:sz w:val="32"/>
          <w:szCs w:val="32"/>
        </w:rPr>
        <w:t>月</w:t>
      </w:r>
      <w:r>
        <w:rPr>
          <w:rFonts w:hint="eastAsia" w:eastAsia="仿宋"/>
          <w:sz w:val="32"/>
          <w:szCs w:val="32"/>
          <w:lang w:val="en-US" w:eastAsia="zh-CN"/>
        </w:rPr>
        <w:t>10</w:t>
      </w:r>
      <w:r>
        <w:rPr>
          <w:rFonts w:hint="eastAsia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附件：</w:t>
      </w:r>
    </w:p>
    <w:p>
      <w:pPr>
        <w:jc w:val="left"/>
        <w:rPr>
          <w:rFonts w:ascii="宋体" w:cs="宋体"/>
          <w:sz w:val="32"/>
          <w:szCs w:val="32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202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年市级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数字农业农村基地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" w:hAnsi="仿宋" w:eastAsia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生产型数字农业农村</w:t>
      </w:r>
      <w:r>
        <w:rPr>
          <w:rFonts w:hint="eastAsia" w:ascii="黑体" w:hAnsi="黑体" w:eastAsia="黑体" w:cs="黑体"/>
          <w:sz w:val="32"/>
          <w:szCs w:val="32"/>
        </w:rPr>
        <w:t>基地（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江苏菇本堂生物科技股份有限公司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泰兴市现代农业产业园区管理委员会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泰兴市江源农牧有限公司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江苏果满园农业科技有限公司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泰兴市顶旺畜牧有限公司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兴化市泓馨蟹虾养殖专业合作社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兴化市安丰镇五庄村股份经济合作社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江苏绿佳生态农业科技有限公司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兴化市城东镇金湖水产养殖家庭农场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泰州市兴国养殖场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泰州丰汇农业科技有限公司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泰州市晓玲为农服务专业合作社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江苏富德泰达农业发展有限公司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姜堰区顾高镇现代园艺产业园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泰州市绿色水乡养殖专业合作社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泰州市田园畜禽养殖有限公司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泰州市增辉养殖专业合作社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经营型数字农业农村</w:t>
      </w:r>
      <w:r>
        <w:rPr>
          <w:rFonts w:hint="eastAsia" w:ascii="黑体" w:hAnsi="黑体" w:eastAsia="黑体" w:cs="黑体"/>
          <w:sz w:val="32"/>
          <w:szCs w:val="32"/>
        </w:rPr>
        <w:t>基地（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eastAsia" w:ascii="黑体" w:hAnsi="黑体" w:eastAsia="黑体" w:cs="黑体"/>
          <w:sz w:val="32"/>
          <w:szCs w:val="32"/>
        </w:rPr>
        <w:t>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靖江市悠味食品有限公司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南方小麦交易市场公司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泰兴市农禾源农业发展有限公司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江苏壳知味食品有限公司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泰州泗润米业有限公司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泰州市万福米厂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eastAsia="仿宋_GB2312"/>
          <w:kern w:val="0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泰州市百惠水产养殖场 </w:t>
      </w:r>
      <w:r>
        <w:rPr>
          <w:rFonts w:eastAsia="仿宋_GB2312"/>
          <w:kern w:val="0"/>
          <w:sz w:val="28"/>
          <w:szCs w:val="28"/>
        </w:rPr>
        <w:t xml:space="preserve">    </w:t>
      </w: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</w:p>
    <w:p>
      <w:pPr>
        <w:widowControl/>
        <w:spacing w:line="220" w:lineRule="exact"/>
        <w:jc w:val="left"/>
        <w:rPr>
          <w:rFonts w:eastAsia="仿宋_GB2312"/>
          <w:kern w:val="0"/>
          <w:sz w:val="32"/>
          <w:szCs w:val="32"/>
        </w:rPr>
      </w:pPr>
      <w:r>
        <w:pict>
          <v:line id="_x0000_s1026" o:spid="_x0000_s1026" o:spt="20" style="position:absolute;left:0pt;margin-left:-4.5pt;margin-top:6.85pt;height:0pt;width:450pt;z-index:251658240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</w:p>
    <w:p>
      <w:pPr>
        <w:widowControl/>
        <w:spacing w:line="420" w:lineRule="exact"/>
        <w:ind w:firstLine="140" w:firstLineChars="50"/>
        <w:jc w:val="left"/>
        <w:rPr>
          <w:rFonts w:hint="eastAsia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eastAsia="仿宋_GB2312" w:cs="仿宋_GB2312"/>
          <w:kern w:val="0"/>
          <w:sz w:val="28"/>
          <w:szCs w:val="28"/>
          <w:lang w:val="en-US" w:eastAsia="zh-CN"/>
        </w:rPr>
        <w:t>抄送：江苏省互联网农业发展中心。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60" w:lineRule="exact"/>
        <w:ind w:firstLine="105" w:firstLineChars="50"/>
        <w:jc w:val="left"/>
        <w:textAlignment w:val="auto"/>
        <w:rPr>
          <w:rFonts w:hint="eastAsia" w:eastAsia="仿宋_GB2312" w:cs="仿宋_GB2312"/>
          <w:kern w:val="0"/>
          <w:sz w:val="28"/>
          <w:szCs w:val="28"/>
        </w:rPr>
      </w:pPr>
      <w:r>
        <w:pict>
          <v:line id="_x0000_s1028" o:spid="_x0000_s1028" o:spt="20" style="position:absolute;left:0pt;margin-left:-3pt;margin-top:5.6pt;height:0pt;width:450pt;z-index:25165926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</w:p>
    <w:p>
      <w:pPr>
        <w:widowControl/>
        <w:spacing w:line="420" w:lineRule="exact"/>
        <w:ind w:firstLine="105" w:firstLineChars="50"/>
        <w:jc w:val="left"/>
        <w:rPr>
          <w:rFonts w:eastAsia="仿宋_GB2312"/>
          <w:kern w:val="0"/>
          <w:sz w:val="28"/>
          <w:szCs w:val="28"/>
        </w:rPr>
      </w:pPr>
      <w:r>
        <w:pict>
          <v:line id="_x0000_s1027" o:spid="_x0000_s1027" o:spt="20" style="position:absolute;left:0pt;margin-left:-2.25pt;margin-top:27.75pt;height:0pt;width:450pt;z-index:251657216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eastAsia="仿宋_GB2312" w:cs="仿宋_GB2312"/>
          <w:kern w:val="0"/>
          <w:sz w:val="28"/>
          <w:szCs w:val="28"/>
        </w:rPr>
        <w:t>泰州市农业农村局</w:t>
      </w:r>
      <w:r>
        <w:rPr>
          <w:rFonts w:eastAsia="仿宋_GB2312"/>
          <w:kern w:val="0"/>
          <w:sz w:val="28"/>
          <w:szCs w:val="28"/>
        </w:rPr>
        <w:t xml:space="preserve">                          20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21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12</w:t>
      </w:r>
      <w:r>
        <w:rPr>
          <w:rFonts w:hint="eastAsia" w:eastAsia="仿宋_GB2312" w:cs="仿宋_GB2312"/>
          <w:kern w:val="0"/>
          <w:sz w:val="28"/>
          <w:szCs w:val="28"/>
        </w:rPr>
        <w:t>月</w:t>
      </w:r>
      <w:r>
        <w:rPr>
          <w:rFonts w:hint="eastAsia" w:eastAsia="仿宋_GB2312"/>
          <w:kern w:val="0"/>
          <w:sz w:val="28"/>
          <w:szCs w:val="28"/>
          <w:lang w:val="en-US" w:eastAsia="zh-CN"/>
        </w:rPr>
        <w:t>13</w:t>
      </w:r>
      <w:r>
        <w:rPr>
          <w:rFonts w:hint="eastAsia" w:eastAsia="仿宋_GB2312" w:cs="仿宋_GB2312"/>
          <w:kern w:val="0"/>
          <w:sz w:val="28"/>
          <w:szCs w:val="28"/>
        </w:rPr>
        <w:t>日印发</w:t>
      </w:r>
    </w:p>
    <w:sectPr>
      <w:footerReference r:id="rId3" w:type="default"/>
      <w:pgSz w:w="11906" w:h="16838"/>
      <w:pgMar w:top="1758" w:right="1474" w:bottom="1588" w:left="164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rFonts w:ascii="宋体"/>
        <w:sz w:val="28"/>
        <w:szCs w:val="28"/>
      </w:rPr>
    </w:pPr>
    <w:r>
      <w:rPr>
        <w:rStyle w:val="10"/>
        <w:rFonts w:ascii="宋体" w:hAnsi="宋体" w:cs="宋体"/>
        <w:sz w:val="28"/>
        <w:szCs w:val="28"/>
      </w:rPr>
      <w:fldChar w:fldCharType="begin"/>
    </w:r>
    <w:r>
      <w:rPr>
        <w:rStyle w:val="10"/>
        <w:rFonts w:ascii="宋体" w:hAnsi="宋体" w:cs="宋体"/>
        <w:sz w:val="28"/>
        <w:szCs w:val="28"/>
      </w:rPr>
      <w:instrText xml:space="preserve">PAGE  </w:instrText>
    </w:r>
    <w:r>
      <w:rPr>
        <w:rStyle w:val="10"/>
        <w:rFonts w:ascii="宋体" w:hAnsi="宋体" w:cs="宋体"/>
        <w:sz w:val="28"/>
        <w:szCs w:val="28"/>
      </w:rPr>
      <w:fldChar w:fldCharType="separate"/>
    </w:r>
    <w:r>
      <w:rPr>
        <w:rStyle w:val="10"/>
        <w:rFonts w:ascii="宋体" w:hAnsi="宋体" w:cs="宋体"/>
        <w:sz w:val="28"/>
        <w:szCs w:val="28"/>
      </w:rPr>
      <w:t>- 1 -</w:t>
    </w:r>
    <w:r>
      <w:rPr>
        <w:rStyle w:val="10"/>
        <w:rFonts w:ascii="宋体" w:hAnsi="宋体" w:cs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19AF"/>
    <w:rsid w:val="00004DD1"/>
    <w:rsid w:val="0004337A"/>
    <w:rsid w:val="000550E3"/>
    <w:rsid w:val="00060562"/>
    <w:rsid w:val="00060722"/>
    <w:rsid w:val="000812AF"/>
    <w:rsid w:val="0008325E"/>
    <w:rsid w:val="00083286"/>
    <w:rsid w:val="000C6DCF"/>
    <w:rsid w:val="000C7C9B"/>
    <w:rsid w:val="000D0250"/>
    <w:rsid w:val="000D2D50"/>
    <w:rsid w:val="000F1E67"/>
    <w:rsid w:val="000F2A8E"/>
    <w:rsid w:val="00121E5F"/>
    <w:rsid w:val="00144F6B"/>
    <w:rsid w:val="00150E86"/>
    <w:rsid w:val="00155812"/>
    <w:rsid w:val="0016237F"/>
    <w:rsid w:val="00182DEE"/>
    <w:rsid w:val="001C4570"/>
    <w:rsid w:val="001E1D65"/>
    <w:rsid w:val="001E51C2"/>
    <w:rsid w:val="001E611F"/>
    <w:rsid w:val="00205C5E"/>
    <w:rsid w:val="0020770C"/>
    <w:rsid w:val="00215B68"/>
    <w:rsid w:val="00225C49"/>
    <w:rsid w:val="002320B5"/>
    <w:rsid w:val="002407A4"/>
    <w:rsid w:val="0025188D"/>
    <w:rsid w:val="00273DD4"/>
    <w:rsid w:val="002F0963"/>
    <w:rsid w:val="002F7963"/>
    <w:rsid w:val="00335FE1"/>
    <w:rsid w:val="0038769F"/>
    <w:rsid w:val="003B18CB"/>
    <w:rsid w:val="003B7C6F"/>
    <w:rsid w:val="00436AE3"/>
    <w:rsid w:val="00440AE7"/>
    <w:rsid w:val="004422D8"/>
    <w:rsid w:val="00442426"/>
    <w:rsid w:val="00442837"/>
    <w:rsid w:val="004518E1"/>
    <w:rsid w:val="004709E8"/>
    <w:rsid w:val="00495B20"/>
    <w:rsid w:val="004A5A6B"/>
    <w:rsid w:val="004D3F43"/>
    <w:rsid w:val="004F7355"/>
    <w:rsid w:val="00510DA7"/>
    <w:rsid w:val="00530214"/>
    <w:rsid w:val="0054337E"/>
    <w:rsid w:val="0054527A"/>
    <w:rsid w:val="00586C67"/>
    <w:rsid w:val="005B1D07"/>
    <w:rsid w:val="005C51C4"/>
    <w:rsid w:val="005E06FA"/>
    <w:rsid w:val="006342BA"/>
    <w:rsid w:val="00646751"/>
    <w:rsid w:val="00664012"/>
    <w:rsid w:val="006805CE"/>
    <w:rsid w:val="006849D1"/>
    <w:rsid w:val="006A2FD2"/>
    <w:rsid w:val="006C20E3"/>
    <w:rsid w:val="006E108C"/>
    <w:rsid w:val="006F362B"/>
    <w:rsid w:val="006F6513"/>
    <w:rsid w:val="0071597D"/>
    <w:rsid w:val="007271A0"/>
    <w:rsid w:val="00727A31"/>
    <w:rsid w:val="00737DD2"/>
    <w:rsid w:val="00752A0F"/>
    <w:rsid w:val="0078305A"/>
    <w:rsid w:val="007D4A1D"/>
    <w:rsid w:val="00835382"/>
    <w:rsid w:val="00860935"/>
    <w:rsid w:val="00864DD3"/>
    <w:rsid w:val="008B230F"/>
    <w:rsid w:val="008D1A32"/>
    <w:rsid w:val="008F15B7"/>
    <w:rsid w:val="00913321"/>
    <w:rsid w:val="00913D5F"/>
    <w:rsid w:val="00923654"/>
    <w:rsid w:val="009319AF"/>
    <w:rsid w:val="00934DC4"/>
    <w:rsid w:val="009376D9"/>
    <w:rsid w:val="00971BD8"/>
    <w:rsid w:val="00980C0A"/>
    <w:rsid w:val="009A47A5"/>
    <w:rsid w:val="009A5FE7"/>
    <w:rsid w:val="009A6B8D"/>
    <w:rsid w:val="009B03B5"/>
    <w:rsid w:val="009C0EC1"/>
    <w:rsid w:val="009E0A1D"/>
    <w:rsid w:val="00A1678C"/>
    <w:rsid w:val="00A750F7"/>
    <w:rsid w:val="00AC0ADE"/>
    <w:rsid w:val="00AC550B"/>
    <w:rsid w:val="00B3650B"/>
    <w:rsid w:val="00B45618"/>
    <w:rsid w:val="00B60091"/>
    <w:rsid w:val="00B82D5A"/>
    <w:rsid w:val="00B87ECF"/>
    <w:rsid w:val="00B950AF"/>
    <w:rsid w:val="00BA752D"/>
    <w:rsid w:val="00BB0E07"/>
    <w:rsid w:val="00BD68A6"/>
    <w:rsid w:val="00BF3978"/>
    <w:rsid w:val="00C134CD"/>
    <w:rsid w:val="00C32E87"/>
    <w:rsid w:val="00C46CCB"/>
    <w:rsid w:val="00C50AB1"/>
    <w:rsid w:val="00C525A9"/>
    <w:rsid w:val="00C61C90"/>
    <w:rsid w:val="00C62679"/>
    <w:rsid w:val="00CA579B"/>
    <w:rsid w:val="00CB40FD"/>
    <w:rsid w:val="00CC1DFB"/>
    <w:rsid w:val="00D02277"/>
    <w:rsid w:val="00D06466"/>
    <w:rsid w:val="00D11BA1"/>
    <w:rsid w:val="00D54E7C"/>
    <w:rsid w:val="00D77BCA"/>
    <w:rsid w:val="00DA35DE"/>
    <w:rsid w:val="00DA3AC6"/>
    <w:rsid w:val="00DC4278"/>
    <w:rsid w:val="00DE0494"/>
    <w:rsid w:val="00DE6817"/>
    <w:rsid w:val="00DF2766"/>
    <w:rsid w:val="00E25BC8"/>
    <w:rsid w:val="00E35383"/>
    <w:rsid w:val="00E520D1"/>
    <w:rsid w:val="00E55CB3"/>
    <w:rsid w:val="00EA7F00"/>
    <w:rsid w:val="00ED2DDC"/>
    <w:rsid w:val="00ED6C29"/>
    <w:rsid w:val="00EE1F12"/>
    <w:rsid w:val="00EE4820"/>
    <w:rsid w:val="00F119A1"/>
    <w:rsid w:val="00F55553"/>
    <w:rsid w:val="00F609C6"/>
    <w:rsid w:val="00F71FF9"/>
    <w:rsid w:val="00F72884"/>
    <w:rsid w:val="00F906DE"/>
    <w:rsid w:val="00FB309C"/>
    <w:rsid w:val="00FB4F55"/>
    <w:rsid w:val="00FE7207"/>
    <w:rsid w:val="00FF665C"/>
    <w:rsid w:val="00FF7848"/>
    <w:rsid w:val="63C9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99"/>
    <w:pPr>
      <w:ind w:left="100" w:leftChars="2500"/>
    </w:pPr>
  </w:style>
  <w:style w:type="paragraph" w:styleId="3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8">
    <w:name w:val="Table Grid"/>
    <w:basedOn w:val="7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</w:style>
  <w:style w:type="character" w:styleId="11">
    <w:name w:val="Hyperlink"/>
    <w:basedOn w:val="9"/>
    <w:qFormat/>
    <w:uiPriority w:val="99"/>
    <w:rPr>
      <w:color w:val="0000FF"/>
      <w:u w:val="single"/>
    </w:rPr>
  </w:style>
  <w:style w:type="character" w:customStyle="1" w:styleId="12">
    <w:name w:val="Footer Char"/>
    <w:basedOn w:val="9"/>
    <w:link w:val="4"/>
    <w:qFormat/>
    <w:locked/>
    <w:uiPriority w:val="99"/>
    <w:rPr>
      <w:kern w:val="2"/>
      <w:sz w:val="18"/>
      <w:szCs w:val="18"/>
    </w:rPr>
  </w:style>
  <w:style w:type="character" w:customStyle="1" w:styleId="13">
    <w:name w:val="Date Char"/>
    <w:basedOn w:val="9"/>
    <w:link w:val="2"/>
    <w:semiHidden/>
    <w:qFormat/>
    <w:locked/>
    <w:uiPriority w:val="99"/>
    <w:rPr>
      <w:sz w:val="21"/>
      <w:szCs w:val="21"/>
    </w:rPr>
  </w:style>
  <w:style w:type="character" w:customStyle="1" w:styleId="14">
    <w:name w:val="Header Char"/>
    <w:basedOn w:val="9"/>
    <w:link w:val="5"/>
    <w:qFormat/>
    <w:locked/>
    <w:uiPriority w:val="99"/>
    <w:rPr>
      <w:kern w:val="2"/>
      <w:sz w:val="18"/>
      <w:szCs w:val="18"/>
    </w:rPr>
  </w:style>
  <w:style w:type="character" w:customStyle="1" w:styleId="15">
    <w:name w:val="Balloon Text Char"/>
    <w:basedOn w:val="9"/>
    <w:link w:val="3"/>
    <w:semiHidden/>
    <w:qFormat/>
    <w:locked/>
    <w:uiPriority w:val="99"/>
    <w:rPr>
      <w:sz w:val="2"/>
      <w:szCs w:val="2"/>
    </w:rPr>
  </w:style>
  <w:style w:type="paragraph" w:customStyle="1" w:styleId="16">
    <w:name w:val="Char Char Char Char"/>
    <w:basedOn w:val="1"/>
    <w:qFormat/>
    <w:uiPriority w:val="99"/>
  </w:style>
  <w:style w:type="paragraph" w:customStyle="1" w:styleId="17">
    <w:name w:val="主题词"/>
    <w:basedOn w:val="1"/>
    <w:qFormat/>
    <w:uiPriority w:val="99"/>
    <w:pPr>
      <w:autoSpaceDE w:val="0"/>
      <w:autoSpaceDN w:val="0"/>
      <w:adjustRightInd w:val="0"/>
      <w:spacing w:line="240" w:lineRule="atLeast"/>
      <w:jc w:val="left"/>
    </w:pPr>
    <w:rPr>
      <w:rFonts w:ascii="宋体" w:cs="宋体"/>
      <w:b/>
      <w:bCs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Lenovo (Beijing) Limited</Company>
  <Pages>9</Pages>
  <Words>338</Words>
  <Characters>1929</Characters>
  <Lines>0</Lines>
  <Paragraphs>0</Paragraphs>
  <TotalTime>3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2019-09-17T07:21:00Z</dcterms:created>
  <dc:creator>Lenovo User</dc:creator>
  <cp:lastModifiedBy>Administrator</cp:lastModifiedBy>
  <cp:lastPrinted>2019-09-17T07:17:00Z</cp:lastPrinted>
  <dcterms:modified xsi:type="dcterms:W3CDTF">2021-12-13T09:08:52Z</dcterms:modified>
  <dc:title>关于加快推进动物标识及疫病可追溯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