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华文中宋"/>
          <w:b/>
          <w:bCs/>
          <w:color w:val="000000"/>
          <w:sz w:val="44"/>
          <w:szCs w:val="44"/>
        </w:rPr>
      </w:pPr>
    </w:p>
    <w:p>
      <w:pPr>
        <w:spacing w:line="580" w:lineRule="exact"/>
        <w:jc w:val="center"/>
        <w:rPr>
          <w:rFonts w:eastAsia="华文中宋"/>
          <w:b/>
          <w:bCs/>
          <w:color w:val="000000"/>
          <w:sz w:val="44"/>
          <w:szCs w:val="44"/>
        </w:rPr>
      </w:pPr>
    </w:p>
    <w:p>
      <w:pPr>
        <w:spacing w:line="580" w:lineRule="exact"/>
        <w:jc w:val="center"/>
        <w:rPr>
          <w:rFonts w:eastAsia="华文中宋"/>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华文中宋"/>
          <w:b/>
          <w:bCs/>
          <w:color w:val="000000"/>
          <w:sz w:val="44"/>
          <w:szCs w:val="44"/>
        </w:rPr>
      </w:pPr>
    </w:p>
    <w:p>
      <w:pPr>
        <w:keepNext w:val="0"/>
        <w:keepLines w:val="0"/>
        <w:pageBreakBefore w:val="0"/>
        <w:widowControl w:val="0"/>
        <w:kinsoku/>
        <w:wordWrap/>
        <w:overflowPunct/>
        <w:topLinePunct w:val="0"/>
        <w:autoSpaceDE/>
        <w:autoSpaceDN/>
        <w:bidi w:val="0"/>
        <w:adjustRightInd/>
        <w:snapToGrid/>
        <w:spacing w:before="863" w:beforeLines="150" w:line="640" w:lineRule="exact"/>
        <w:jc w:val="center"/>
        <w:textAlignment w:val="auto"/>
        <w:rPr>
          <w:rFonts w:eastAsia="华文中宋"/>
          <w:b/>
          <w:bCs/>
          <w:color w:val="000000"/>
          <w:sz w:val="44"/>
          <w:szCs w:val="44"/>
        </w:rPr>
      </w:pPr>
    </w:p>
    <w:p>
      <w:pPr>
        <w:spacing w:line="560" w:lineRule="exact"/>
        <w:jc w:val="center"/>
        <w:rPr>
          <w:color w:val="000000"/>
        </w:rPr>
      </w:pPr>
      <w:r>
        <w:rPr>
          <w:rFonts w:hint="eastAsia" w:cs="仿宋_GB2312"/>
          <w:color w:val="000000"/>
        </w:rPr>
        <w:t>泰农牧〔</w:t>
      </w:r>
      <w:r>
        <w:rPr>
          <w:color w:val="000000"/>
        </w:rPr>
        <w:t>202</w:t>
      </w:r>
      <w:r>
        <w:rPr>
          <w:rFonts w:hint="eastAsia"/>
          <w:color w:val="000000"/>
          <w:lang w:val="en-US" w:eastAsia="zh-CN"/>
        </w:rPr>
        <w:t>3</w:t>
      </w:r>
      <w:r>
        <w:rPr>
          <w:rFonts w:hint="eastAsia" w:cs="仿宋_GB2312"/>
          <w:color w:val="000000"/>
        </w:rPr>
        <w:t>〕</w:t>
      </w:r>
      <w:r>
        <w:rPr>
          <w:rFonts w:hint="eastAsia" w:cs="仿宋_GB2312"/>
          <w:color w:val="000000"/>
          <w:lang w:val="en-US" w:eastAsia="zh-CN"/>
        </w:rPr>
        <w:t>25</w:t>
      </w:r>
      <w:r>
        <w:rPr>
          <w:rFonts w:hint="eastAsia" w:cs="仿宋_GB2312"/>
          <w:color w:val="000000"/>
        </w:rPr>
        <w:t>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eastAsia="华文中宋"/>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关于印发《泰州市畜禽屠宰“严规范 促提升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保安全”三年行动实施方案》的通知</w:t>
      </w:r>
    </w:p>
    <w:p>
      <w:pPr>
        <w:keepNext w:val="0"/>
        <w:keepLines w:val="0"/>
        <w:pageBreakBefore w:val="0"/>
        <w:kinsoku/>
        <w:overflowPunct/>
        <w:topLinePunct w:val="0"/>
        <w:autoSpaceDE/>
        <w:autoSpaceDN/>
        <w:bidi w:val="0"/>
        <w:adjustRightInd/>
        <w:spacing w:line="560" w:lineRule="exact"/>
        <w:ind w:left="0" w:leftChars="0" w:right="0"/>
        <w:textAlignment w:val="auto"/>
        <w:rPr>
          <w:rFonts w:hint="eastAsia" w:ascii="仿宋" w:hAnsi="仿宋" w:eastAsia="仿宋" w:cs="仿宋"/>
          <w:sz w:val="32"/>
          <w:szCs w:val="32"/>
        </w:rPr>
      </w:pPr>
    </w:p>
    <w:p>
      <w:pPr>
        <w:spacing w:line="560" w:lineRule="exact"/>
        <w:rPr>
          <w:rFonts w:ascii="仿宋" w:hAnsi="仿宋" w:eastAsia="仿宋"/>
          <w:color w:val="000000"/>
        </w:rPr>
      </w:pPr>
      <w:r>
        <w:rPr>
          <w:rFonts w:ascii="仿宋" w:hAnsi="仿宋" w:eastAsia="仿宋"/>
          <w:color w:val="000000"/>
        </w:rPr>
        <w:t>各市</w:t>
      </w:r>
      <w:r>
        <w:rPr>
          <w:rFonts w:hint="eastAsia" w:ascii="仿宋" w:hAnsi="仿宋" w:eastAsia="仿宋"/>
          <w:color w:val="000000"/>
        </w:rPr>
        <w:t>（区）</w:t>
      </w:r>
      <w:r>
        <w:rPr>
          <w:rFonts w:ascii="仿宋" w:hAnsi="仿宋" w:eastAsia="仿宋"/>
          <w:color w:val="000000"/>
        </w:rPr>
        <w:t>农业农村局：</w:t>
      </w:r>
    </w:p>
    <w:p>
      <w:pPr>
        <w:spacing w:line="560" w:lineRule="exact"/>
        <w:ind w:firstLine="640" w:firstLineChars="200"/>
        <w:jc w:val="left"/>
        <w:rPr>
          <w:rFonts w:hint="eastAsia" w:ascii="仿宋" w:hAnsi="仿宋" w:eastAsia="仿宋" w:cs="方正仿宋_GBK"/>
          <w:color w:val="000000"/>
          <w:shd w:val="clear" w:color="auto" w:fill="FFFFFF"/>
        </w:rPr>
      </w:pPr>
      <w:r>
        <w:rPr>
          <w:rFonts w:hint="eastAsia" w:ascii="仿宋" w:hAnsi="仿宋" w:eastAsia="仿宋" w:cs="方正仿宋_GBK"/>
          <w:color w:val="000000"/>
          <w:shd w:val="clear" w:color="auto" w:fill="FFFFFF"/>
        </w:rPr>
        <w:t>为全面规范畜禽屠宰行业秩序，提升畜禽产品质量安全保障水平，推动屠宰行业高质量发展，现将《泰州市畜禽屠宰“严规范 促提升 保安全”三年行动实施方案》印发给你们，请认真组织实施。</w:t>
      </w:r>
    </w:p>
    <w:p>
      <w:pPr>
        <w:spacing w:line="560" w:lineRule="exact"/>
        <w:ind w:firstLine="640" w:firstLineChars="200"/>
        <w:jc w:val="left"/>
        <w:rPr>
          <w:rFonts w:ascii="仿宋" w:hAnsi="仿宋" w:eastAsia="仿宋"/>
          <w:color w:val="000000"/>
          <w:shd w:val="clear" w:color="auto" w:fill="FFFFFF"/>
        </w:rPr>
      </w:pPr>
      <w:bookmarkStart w:id="0" w:name="_GoBack"/>
      <w:bookmarkEnd w:id="0"/>
    </w:p>
    <w:p>
      <w:pPr>
        <w:spacing w:line="560" w:lineRule="exact"/>
        <w:ind w:firstLine="640" w:firstLineChars="200"/>
        <w:jc w:val="center"/>
        <w:rPr>
          <w:rFonts w:ascii="仿宋" w:hAnsi="仿宋" w:eastAsia="仿宋"/>
          <w:color w:val="000000"/>
          <w:shd w:val="clear" w:color="auto" w:fill="FFFFFF"/>
        </w:rPr>
      </w:pPr>
      <w:r>
        <w:rPr>
          <w:rFonts w:ascii="仿宋" w:hAnsi="仿宋" w:eastAsia="仿宋"/>
          <w:color w:val="000000"/>
          <w:shd w:val="clear" w:color="auto" w:fill="FFFFFF"/>
        </w:rPr>
        <w:t xml:space="preserve">                    </w:t>
      </w:r>
    </w:p>
    <w:p>
      <w:pPr>
        <w:spacing w:line="560" w:lineRule="exact"/>
        <w:ind w:firstLine="640" w:firstLineChars="200"/>
        <w:jc w:val="center"/>
        <w:rPr>
          <w:rFonts w:ascii="仿宋" w:hAnsi="仿宋" w:eastAsia="仿宋"/>
          <w:color w:val="000000"/>
          <w:shd w:val="clear" w:color="auto" w:fill="FFFFFF"/>
        </w:rPr>
      </w:pPr>
    </w:p>
    <w:p>
      <w:pPr>
        <w:spacing w:line="560" w:lineRule="exact"/>
        <w:ind w:firstLine="640" w:firstLineChars="200"/>
        <w:jc w:val="center"/>
        <w:rPr>
          <w:rFonts w:ascii="仿宋" w:hAnsi="仿宋" w:eastAsia="仿宋"/>
          <w:color w:val="000000"/>
          <w:shd w:val="clear" w:color="auto" w:fill="FFFFFF"/>
        </w:rPr>
      </w:pPr>
      <w:r>
        <w:rPr>
          <w:rFonts w:hint="eastAsia" w:ascii="仿宋" w:hAnsi="仿宋" w:eastAsia="仿宋"/>
          <w:color w:val="000000"/>
          <w:shd w:val="clear" w:color="auto" w:fill="FFFFFF"/>
          <w:lang w:val="en-US" w:eastAsia="zh-CN"/>
        </w:rPr>
        <w:t xml:space="preserve">                           </w:t>
      </w:r>
      <w:r>
        <w:rPr>
          <w:rFonts w:hint="eastAsia" w:ascii="仿宋" w:hAnsi="仿宋" w:eastAsia="仿宋"/>
          <w:color w:val="000000"/>
          <w:shd w:val="clear" w:color="auto" w:fill="FFFFFF"/>
        </w:rPr>
        <w:t>泰州市</w:t>
      </w:r>
      <w:r>
        <w:rPr>
          <w:rFonts w:ascii="仿宋" w:hAnsi="仿宋" w:eastAsia="仿宋"/>
          <w:color w:val="000000"/>
          <w:shd w:val="clear" w:color="auto" w:fill="FFFFFF"/>
        </w:rPr>
        <w:t>农业农村</w:t>
      </w:r>
      <w:r>
        <w:rPr>
          <w:rFonts w:hint="eastAsia" w:ascii="仿宋" w:hAnsi="仿宋" w:eastAsia="仿宋"/>
          <w:color w:val="000000"/>
          <w:shd w:val="clear" w:color="auto" w:fill="FFFFFF"/>
        </w:rPr>
        <w:t>局</w:t>
      </w:r>
    </w:p>
    <w:p>
      <w:pPr>
        <w:spacing w:line="560" w:lineRule="exact"/>
        <w:ind w:right="480" w:rightChars="150" w:firstLine="640" w:firstLineChars="200"/>
        <w:jc w:val="center"/>
        <w:rPr>
          <w:rFonts w:ascii="仿宋" w:hAnsi="仿宋" w:eastAsia="仿宋"/>
          <w:color w:val="000000"/>
          <w:shd w:val="clear" w:color="auto" w:fill="FFFFFF"/>
        </w:rPr>
      </w:pPr>
      <w:r>
        <w:rPr>
          <w:rFonts w:ascii="仿宋" w:hAnsi="仿宋" w:eastAsia="仿宋"/>
          <w:color w:val="000000"/>
          <w:shd w:val="clear" w:color="auto" w:fill="FFFFFF"/>
        </w:rPr>
        <w:t xml:space="preserve">                     </w:t>
      </w:r>
      <w:r>
        <w:rPr>
          <w:rFonts w:hint="eastAsia" w:ascii="仿宋" w:hAnsi="仿宋" w:eastAsia="仿宋"/>
          <w:color w:val="000000"/>
          <w:shd w:val="clear" w:color="auto" w:fill="FFFFFF"/>
          <w:lang w:val="en-US" w:eastAsia="zh-CN"/>
        </w:rPr>
        <w:t xml:space="preserve">         </w:t>
      </w:r>
      <w:r>
        <w:rPr>
          <w:rFonts w:ascii="仿宋" w:hAnsi="仿宋" w:eastAsia="仿宋"/>
          <w:color w:val="000000"/>
          <w:shd w:val="clear" w:color="auto" w:fill="FFFFFF"/>
        </w:rPr>
        <w:t xml:space="preserve"> 2023年</w:t>
      </w:r>
      <w:r>
        <w:rPr>
          <w:rFonts w:hint="eastAsia" w:ascii="仿宋" w:hAnsi="仿宋" w:eastAsia="仿宋"/>
          <w:color w:val="000000"/>
          <w:shd w:val="clear" w:color="auto" w:fill="FFFFFF"/>
        </w:rPr>
        <w:t>5</w:t>
      </w:r>
      <w:r>
        <w:rPr>
          <w:rFonts w:ascii="仿宋" w:hAnsi="仿宋" w:eastAsia="仿宋"/>
          <w:color w:val="000000"/>
          <w:shd w:val="clear" w:color="auto" w:fill="FFFFFF"/>
        </w:rPr>
        <w:t>月</w:t>
      </w:r>
      <w:r>
        <w:rPr>
          <w:rFonts w:hint="eastAsia" w:ascii="仿宋" w:hAnsi="仿宋" w:eastAsia="仿宋"/>
          <w:color w:val="000000"/>
          <w:shd w:val="clear" w:color="auto" w:fill="FFFFFF"/>
          <w:lang w:val="en-US" w:eastAsia="zh-CN"/>
        </w:rPr>
        <w:t>23</w:t>
      </w:r>
      <w:r>
        <w:rPr>
          <w:rFonts w:ascii="仿宋" w:hAnsi="仿宋" w:eastAsia="仿宋"/>
          <w:color w:val="000000"/>
          <w:shd w:val="clear" w:color="auto" w:fill="FFFFFF"/>
        </w:rPr>
        <w:t>日</w:t>
      </w:r>
    </w:p>
    <w:p>
      <w:pPr>
        <w:spacing w:line="560" w:lineRule="exact"/>
        <w:rPr>
          <w:rFonts w:ascii="黑体" w:hAnsi="黑体" w:eastAsia="黑体"/>
          <w:color w:val="000000"/>
        </w:rPr>
      </w:pPr>
      <w:r>
        <w:rPr>
          <w:rFonts w:ascii="黑体" w:hAnsi="黑体" w:eastAsia="黑体"/>
          <w:color w:val="000000"/>
        </w:rPr>
        <w:t xml:space="preserve"> </w:t>
      </w:r>
    </w:p>
    <w:p>
      <w:pPr>
        <w:spacing w:line="560" w:lineRule="exact"/>
        <w:jc w:val="center"/>
        <w:rPr>
          <w:rFonts w:hint="eastAsia" w:ascii="宋体" w:hAnsi="宋体" w:eastAsia="宋体"/>
          <w:color w:val="000000"/>
          <w:sz w:val="44"/>
          <w:szCs w:val="44"/>
        </w:rPr>
      </w:pPr>
    </w:p>
    <w:p>
      <w:pPr>
        <w:spacing w:line="560" w:lineRule="exact"/>
        <w:jc w:val="both"/>
        <w:rPr>
          <w:rFonts w:hint="eastAsia" w:ascii="宋体" w:hAnsi="宋体" w:eastAsia="宋体"/>
          <w:color w:val="000000"/>
          <w:sz w:val="44"/>
          <w:szCs w:val="44"/>
        </w:rPr>
        <w:sectPr>
          <w:footerReference r:id="rId3" w:type="default"/>
          <w:footerReference r:id="rId4" w:type="even"/>
          <w:pgSz w:w="11906" w:h="16838"/>
          <w:pgMar w:top="1758" w:right="1474" w:bottom="1417" w:left="1587" w:header="851" w:footer="1418" w:gutter="0"/>
          <w:pgNumType w:fmt="numberInDash"/>
          <w:cols w:space="720" w:num="1"/>
          <w:docGrid w:linePitch="574" w:charSpace="-1683"/>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泰州市畜禽屠宰“严规范 促提升 保安全”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三年行动实施方案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spacing w:val="-6"/>
          <w:sz w:val="40"/>
          <w:szCs w:val="40"/>
        </w:rPr>
      </w:pPr>
    </w:p>
    <w:p>
      <w:pPr>
        <w:spacing w:line="560" w:lineRule="exact"/>
        <w:ind w:firstLine="640" w:firstLineChars="200"/>
        <w:jc w:val="left"/>
        <w:rPr>
          <w:rFonts w:ascii="仿宋" w:hAnsi="仿宋" w:eastAsia="仿宋"/>
          <w:color w:val="000000"/>
          <w:shd w:val="clear" w:color="auto" w:fill="FFFFFF"/>
        </w:rPr>
      </w:pPr>
      <w:r>
        <w:rPr>
          <w:rFonts w:ascii="仿宋" w:hAnsi="仿宋" w:eastAsia="仿宋"/>
          <w:color w:val="000000"/>
          <w:shd w:val="clear" w:color="auto" w:fill="FFFFFF"/>
        </w:rPr>
        <w:t>为贯彻落实《中华人民共和国畜牧法》《中华人民共和国动物防疫法》《中华人民共和国农产品质量安全法》和《生猪屠宰管理条例》，以及《国务院办公厅关于促进畜牧业高质量发展的意见》有关要求，全面规范畜禽屠宰行业秩序，提升畜禽产品质量安全保障水平，推动屠宰行业高质量发展，根据</w:t>
      </w:r>
      <w:r>
        <w:rPr>
          <w:rFonts w:hint="eastAsia" w:ascii="仿宋" w:hAnsi="仿宋" w:eastAsia="仿宋"/>
          <w:color w:val="000000"/>
          <w:shd w:val="clear" w:color="auto" w:fill="FFFFFF"/>
        </w:rPr>
        <w:t>省</w:t>
      </w:r>
      <w:r>
        <w:rPr>
          <w:rFonts w:ascii="仿宋" w:hAnsi="仿宋" w:eastAsia="仿宋"/>
          <w:color w:val="000000"/>
          <w:shd w:val="clear" w:color="auto" w:fill="FFFFFF"/>
        </w:rPr>
        <w:t>农业农村</w:t>
      </w:r>
      <w:r>
        <w:rPr>
          <w:rFonts w:hint="eastAsia" w:ascii="仿宋" w:hAnsi="仿宋" w:eastAsia="仿宋"/>
          <w:color w:val="000000"/>
          <w:shd w:val="clear" w:color="auto" w:fill="FFFFFF"/>
        </w:rPr>
        <w:t>厅印发</w:t>
      </w:r>
      <w:r>
        <w:rPr>
          <w:rFonts w:ascii="仿宋" w:hAnsi="仿宋" w:eastAsia="仿宋"/>
          <w:color w:val="000000"/>
          <w:shd w:val="clear" w:color="auto" w:fill="FFFFFF"/>
        </w:rPr>
        <w:t>《</w:t>
      </w:r>
      <w:r>
        <w:rPr>
          <w:rFonts w:hint="eastAsia" w:ascii="仿宋" w:hAnsi="仿宋" w:eastAsia="仿宋"/>
          <w:color w:val="000000"/>
          <w:shd w:val="clear" w:color="auto" w:fill="FFFFFF"/>
        </w:rPr>
        <w:t>江苏省</w:t>
      </w:r>
      <w:r>
        <w:rPr>
          <w:rFonts w:ascii="仿宋" w:hAnsi="仿宋" w:eastAsia="仿宋"/>
          <w:color w:val="000000"/>
          <w:shd w:val="clear" w:color="auto" w:fill="FFFFFF"/>
        </w:rPr>
        <w:t>畜禽屠宰“严规范 促提升 保安全”三年行动</w:t>
      </w:r>
      <w:r>
        <w:rPr>
          <w:rFonts w:hint="eastAsia" w:ascii="仿宋" w:hAnsi="仿宋" w:eastAsia="仿宋"/>
          <w:color w:val="000000"/>
          <w:shd w:val="clear" w:color="auto" w:fill="FFFFFF"/>
        </w:rPr>
        <w:t>实施</w:t>
      </w:r>
      <w:r>
        <w:rPr>
          <w:rFonts w:ascii="仿宋" w:hAnsi="仿宋" w:eastAsia="仿宋"/>
          <w:color w:val="000000"/>
          <w:shd w:val="clear" w:color="auto" w:fill="FFFFFF"/>
        </w:rPr>
        <w:t>方案》</w:t>
      </w:r>
      <w:r>
        <w:rPr>
          <w:rFonts w:hint="eastAsia" w:ascii="仿宋" w:hAnsi="仿宋" w:eastAsia="仿宋"/>
          <w:color w:val="000000"/>
          <w:shd w:val="clear" w:color="auto" w:fill="FFFFFF"/>
        </w:rPr>
        <w:t>的有关要求</w:t>
      </w:r>
      <w:r>
        <w:rPr>
          <w:rFonts w:ascii="仿宋" w:hAnsi="仿宋" w:eastAsia="仿宋"/>
          <w:color w:val="000000"/>
          <w:shd w:val="clear" w:color="auto" w:fill="FFFFFF"/>
        </w:rPr>
        <w:t>，结合我</w:t>
      </w:r>
      <w:r>
        <w:rPr>
          <w:rFonts w:hint="eastAsia" w:ascii="仿宋" w:hAnsi="仿宋" w:eastAsia="仿宋"/>
          <w:color w:val="000000"/>
          <w:shd w:val="clear" w:color="auto" w:fill="FFFFFF"/>
        </w:rPr>
        <w:t>市</w:t>
      </w:r>
      <w:r>
        <w:rPr>
          <w:rFonts w:ascii="仿宋" w:hAnsi="仿宋" w:eastAsia="仿宋"/>
          <w:color w:val="000000"/>
          <w:shd w:val="clear" w:color="auto" w:fill="FFFFFF"/>
        </w:rPr>
        <w:t>实际，制定本实施方案。</w:t>
      </w:r>
    </w:p>
    <w:p>
      <w:pPr>
        <w:spacing w:line="560" w:lineRule="exact"/>
        <w:ind w:firstLine="640" w:firstLineChars="200"/>
        <w:jc w:val="left"/>
        <w:rPr>
          <w:rFonts w:ascii="黑体" w:hAnsi="黑体" w:eastAsia="黑体"/>
          <w:color w:val="000000"/>
          <w:shd w:val="clear" w:color="auto" w:fill="FFFFFF"/>
        </w:rPr>
      </w:pPr>
      <w:r>
        <w:rPr>
          <w:rFonts w:ascii="黑体" w:hAnsi="黑体" w:eastAsia="黑体"/>
          <w:color w:val="000000"/>
          <w:shd w:val="clear" w:color="auto" w:fill="FFFFFF"/>
        </w:rPr>
        <w:t>一、行动目标</w:t>
      </w:r>
    </w:p>
    <w:p>
      <w:pPr>
        <w:spacing w:line="560" w:lineRule="exact"/>
        <w:ind w:firstLine="640" w:firstLineChars="200"/>
        <w:jc w:val="left"/>
        <w:rPr>
          <w:rFonts w:ascii="仿宋" w:hAnsi="仿宋" w:eastAsia="仿宋"/>
          <w:color w:val="000000"/>
          <w:shd w:val="clear" w:color="auto" w:fill="FFFFFF"/>
        </w:rPr>
      </w:pPr>
      <w:r>
        <w:rPr>
          <w:rFonts w:ascii="仿宋" w:hAnsi="仿宋" w:eastAsia="仿宋"/>
          <w:color w:val="000000"/>
          <w:shd w:val="clear" w:color="auto" w:fill="FFFFFF"/>
        </w:rPr>
        <w:t>通过实施三年行动，到2025年，全</w:t>
      </w:r>
      <w:r>
        <w:rPr>
          <w:rFonts w:hint="eastAsia" w:ascii="仿宋" w:hAnsi="仿宋" w:eastAsia="仿宋"/>
          <w:color w:val="000000"/>
          <w:shd w:val="clear" w:color="auto" w:fill="FFFFFF"/>
        </w:rPr>
        <w:t>市</w:t>
      </w:r>
      <w:r>
        <w:rPr>
          <w:rFonts w:ascii="仿宋" w:hAnsi="仿宋" w:eastAsia="仿宋"/>
          <w:color w:val="000000"/>
          <w:shd w:val="clear" w:color="auto" w:fill="FFFFFF"/>
        </w:rPr>
        <w:t>畜禽屠宰布局结构进一步优化，生猪屠宰与养殖产能匹配度持续提高；牛羊家禽全面实行集中屠宰管理，屠宰产能利用率和行业集中度稳步提高，屠宰规范化、机械化、智能化水平明显提升</w:t>
      </w:r>
      <w:r>
        <w:rPr>
          <w:shd w:val="clear" w:color="auto" w:fill="FFFFFF"/>
        </w:rPr>
        <w:t>；全面实施生猪屠宰</w:t>
      </w:r>
      <w:r>
        <w:rPr>
          <w:rFonts w:ascii="仿宋" w:hAnsi="仿宋" w:eastAsia="仿宋"/>
          <w:color w:val="000000"/>
          <w:shd w:val="clear" w:color="auto" w:fill="FFFFFF"/>
        </w:rPr>
        <w:t>质量管理规范（以下简称“屠宰GMP”），力争部级生猪屠宰标准化建设示范单位达</w:t>
      </w:r>
      <w:r>
        <w:rPr>
          <w:rFonts w:hint="eastAsia" w:ascii="仿宋" w:hAnsi="仿宋" w:eastAsia="仿宋"/>
          <w:color w:val="000000"/>
          <w:shd w:val="clear" w:color="auto" w:fill="FFFFFF"/>
        </w:rPr>
        <w:t>2</w:t>
      </w:r>
      <w:r>
        <w:rPr>
          <w:rFonts w:ascii="仿宋" w:hAnsi="仿宋" w:eastAsia="仿宋"/>
          <w:color w:val="000000"/>
          <w:shd w:val="clear" w:color="auto" w:fill="FFFFFF"/>
        </w:rPr>
        <w:t>家、年屠宰量8万头以上生猪定点屠宰企业全部达到新的省级标准化要求</w:t>
      </w:r>
      <w:r>
        <w:rPr>
          <w:rFonts w:hint="eastAsia" w:ascii="仿宋" w:hAnsi="仿宋" w:eastAsia="仿宋"/>
          <w:color w:val="000000"/>
          <w:shd w:val="clear" w:color="auto" w:fill="FFFFFF"/>
        </w:rPr>
        <w:t>；</w:t>
      </w:r>
      <w:r>
        <w:rPr>
          <w:color w:val="000000"/>
          <w:shd w:val="clear" w:color="auto" w:fill="FFFFFF"/>
        </w:rPr>
        <w:t>畜禽屠宰监管能力明显提升，生猪屠宰企业远程监控与质量追溯信息化管理实现全覆盖，屠宰违法违规行为得到有效遏制。</w:t>
      </w:r>
    </w:p>
    <w:p>
      <w:pPr>
        <w:spacing w:line="560" w:lineRule="exact"/>
        <w:ind w:firstLine="640" w:firstLineChars="200"/>
        <w:jc w:val="left"/>
        <w:rPr>
          <w:rFonts w:ascii="黑体" w:hAnsi="黑体" w:eastAsia="黑体"/>
          <w:color w:val="000000"/>
          <w:shd w:val="clear" w:color="auto" w:fill="FFFFFF"/>
        </w:rPr>
      </w:pPr>
      <w:r>
        <w:rPr>
          <w:rFonts w:ascii="黑体" w:hAnsi="黑体" w:eastAsia="黑体"/>
          <w:color w:val="000000"/>
          <w:shd w:val="clear" w:color="auto" w:fill="FFFFFF"/>
        </w:rPr>
        <w:t>二、重点任务</w:t>
      </w:r>
    </w:p>
    <w:p>
      <w:pPr>
        <w:spacing w:line="560" w:lineRule="exact"/>
        <w:ind w:firstLine="640" w:firstLineChars="200"/>
        <w:jc w:val="left"/>
        <w:rPr>
          <w:rFonts w:ascii="楷体" w:hAnsi="楷体" w:eastAsia="楷体"/>
          <w:color w:val="000000"/>
          <w:shd w:val="clear" w:color="auto" w:fill="FFFFFF"/>
        </w:rPr>
      </w:pPr>
      <w:r>
        <w:rPr>
          <w:rFonts w:ascii="楷体" w:hAnsi="楷体" w:eastAsia="楷体"/>
          <w:color w:val="000000"/>
          <w:shd w:val="clear" w:color="auto" w:fill="FFFFFF"/>
        </w:rPr>
        <w:t>（一）</w:t>
      </w:r>
      <w:r>
        <w:rPr>
          <w:rFonts w:hint="eastAsia" w:ascii="楷体" w:hAnsi="楷体" w:eastAsia="楷体"/>
          <w:color w:val="000000"/>
          <w:shd w:val="clear" w:color="auto" w:fill="FFFFFF"/>
        </w:rPr>
        <w:t>合理</w:t>
      </w:r>
      <w:r>
        <w:rPr>
          <w:rFonts w:ascii="楷体" w:hAnsi="楷体" w:eastAsia="楷体"/>
          <w:shd w:val="clear" w:color="auto" w:fill="FFFFFF"/>
        </w:rPr>
        <w:t>规划</w:t>
      </w:r>
      <w:r>
        <w:rPr>
          <w:rFonts w:hint="eastAsia" w:ascii="楷体" w:hAnsi="楷体" w:eastAsia="楷体"/>
          <w:shd w:val="clear" w:color="auto" w:fill="FFFFFF"/>
        </w:rPr>
        <w:t>设置</w:t>
      </w:r>
      <w:r>
        <w:rPr>
          <w:rFonts w:ascii="楷体" w:hAnsi="楷体" w:eastAsia="楷体"/>
          <w:color w:val="000000"/>
          <w:shd w:val="clear" w:color="auto" w:fill="FFFFFF"/>
        </w:rPr>
        <w:t>，推动产业结构优化升级</w:t>
      </w:r>
    </w:p>
    <w:p>
      <w:pPr>
        <w:spacing w:line="560" w:lineRule="exact"/>
        <w:ind w:firstLine="643" w:firstLineChars="200"/>
        <w:jc w:val="left"/>
        <w:rPr>
          <w:rFonts w:ascii="仿宋" w:hAnsi="仿宋" w:eastAsia="仿宋"/>
          <w:color w:val="000000"/>
        </w:rPr>
      </w:pPr>
      <w:r>
        <w:rPr>
          <w:rFonts w:ascii="仿宋" w:hAnsi="仿宋" w:eastAsia="仿宋"/>
          <w:b/>
          <w:bCs/>
          <w:color w:val="000000"/>
          <w:shd w:val="clear" w:color="auto" w:fill="FFFFFF"/>
        </w:rPr>
        <w:t>1</w:t>
      </w:r>
      <w:r>
        <w:rPr>
          <w:rFonts w:hint="eastAsia" w:ascii="仿宋" w:hAnsi="仿宋" w:eastAsia="仿宋"/>
          <w:b/>
          <w:bCs/>
          <w:color w:val="000000"/>
          <w:shd w:val="clear" w:color="auto" w:fill="FFFFFF"/>
        </w:rPr>
        <w:t>.</w:t>
      </w:r>
      <w:r>
        <w:rPr>
          <w:rFonts w:ascii="仿宋" w:hAnsi="仿宋" w:eastAsia="仿宋"/>
          <w:b/>
          <w:bCs/>
          <w:color w:val="000000"/>
          <w:shd w:val="clear" w:color="auto" w:fill="FFFFFF"/>
        </w:rPr>
        <w:t>深入贯彻《</w:t>
      </w:r>
      <w:r>
        <w:rPr>
          <w:rFonts w:hint="eastAsia" w:ascii="仿宋" w:hAnsi="仿宋" w:eastAsia="仿宋"/>
          <w:b/>
          <w:bCs/>
          <w:color w:val="000000"/>
          <w:shd w:val="clear" w:color="auto" w:fill="FFFFFF"/>
        </w:rPr>
        <w:t>泰州市</w:t>
      </w:r>
      <w:r>
        <w:rPr>
          <w:rFonts w:ascii="仿宋" w:hAnsi="仿宋" w:eastAsia="仿宋"/>
          <w:b/>
          <w:bCs/>
          <w:color w:val="000000"/>
          <w:shd w:val="clear" w:color="auto" w:fill="FFFFFF"/>
        </w:rPr>
        <w:t>畜禽屠宰行业发展规划》。</w:t>
      </w:r>
      <w:r>
        <w:rPr>
          <w:rFonts w:ascii="仿宋" w:hAnsi="仿宋" w:eastAsia="仿宋"/>
          <w:color w:val="000000"/>
          <w:shd w:val="clear" w:color="auto" w:fill="FFFFFF"/>
        </w:rPr>
        <w:t>各</w:t>
      </w:r>
      <w:r>
        <w:rPr>
          <w:rFonts w:hint="eastAsia" w:ascii="仿宋" w:hAnsi="仿宋" w:eastAsia="仿宋"/>
          <w:color w:val="000000"/>
          <w:shd w:val="clear" w:color="auto" w:fill="FFFFFF"/>
        </w:rPr>
        <w:t>地要严格</w:t>
      </w:r>
      <w:r>
        <w:rPr>
          <w:rFonts w:ascii="仿宋" w:hAnsi="仿宋" w:eastAsia="仿宋"/>
          <w:color w:val="000000"/>
          <w:shd w:val="clear" w:color="auto" w:fill="FFFFFF"/>
        </w:rPr>
        <w:t>按照</w:t>
      </w:r>
      <w:r>
        <w:rPr>
          <w:rFonts w:hint="eastAsia" w:ascii="仿宋" w:hAnsi="仿宋" w:eastAsia="仿宋"/>
          <w:color w:val="000000"/>
          <w:shd w:val="clear" w:color="auto" w:fill="FFFFFF"/>
        </w:rPr>
        <w:t>市</w:t>
      </w:r>
      <w:r>
        <w:rPr>
          <w:rFonts w:ascii="仿宋" w:hAnsi="仿宋" w:eastAsia="仿宋"/>
          <w:color w:val="000000"/>
          <w:shd w:val="clear" w:color="auto" w:fill="FFFFFF"/>
        </w:rPr>
        <w:t>规划要求，综合考虑辖区畜禽养殖规模、保障市场肉品供给、环境承载能力等因素，合理</w:t>
      </w:r>
      <w:r>
        <w:rPr>
          <w:rFonts w:hint="eastAsia" w:ascii="仿宋" w:hAnsi="仿宋" w:eastAsia="仿宋"/>
          <w:color w:val="000000"/>
          <w:shd w:val="clear" w:color="auto" w:fill="FFFFFF"/>
        </w:rPr>
        <w:t>规划设置畜禽</w:t>
      </w:r>
      <w:r>
        <w:rPr>
          <w:rFonts w:ascii="仿宋" w:hAnsi="仿宋" w:eastAsia="仿宋"/>
          <w:color w:val="000000"/>
          <w:shd w:val="clear" w:color="auto" w:fill="FFFFFF"/>
        </w:rPr>
        <w:t>屠宰</w:t>
      </w:r>
      <w:r>
        <w:rPr>
          <w:rFonts w:hint="eastAsia" w:ascii="仿宋" w:hAnsi="仿宋" w:eastAsia="仿宋"/>
          <w:color w:val="000000"/>
          <w:shd w:val="clear" w:color="auto" w:fill="FFFFFF"/>
        </w:rPr>
        <w:t>企业审批建设。积极</w:t>
      </w:r>
      <w:r>
        <w:rPr>
          <w:rFonts w:ascii="仿宋" w:hAnsi="仿宋" w:eastAsia="仿宋"/>
          <w:color w:val="000000"/>
          <w:shd w:val="clear" w:color="auto" w:fill="FFFFFF"/>
        </w:rPr>
        <w:t>鼓励屠宰企业</w:t>
      </w:r>
      <w:r>
        <w:rPr>
          <w:rFonts w:hint="eastAsia" w:ascii="仿宋" w:hAnsi="仿宋" w:eastAsia="仿宋"/>
          <w:color w:val="000000"/>
          <w:shd w:val="clear" w:color="auto" w:fill="FFFFFF"/>
        </w:rPr>
        <w:t>兼并</w:t>
      </w:r>
      <w:r>
        <w:rPr>
          <w:rFonts w:ascii="仿宋" w:hAnsi="仿宋" w:eastAsia="仿宋"/>
          <w:color w:val="000000"/>
          <w:shd w:val="clear" w:color="auto" w:fill="FFFFFF"/>
        </w:rPr>
        <w:t>重组，推进畜禽屠宰产业转型升级。</w:t>
      </w:r>
      <w:r>
        <w:rPr>
          <w:rFonts w:ascii="仿宋" w:hAnsi="仿宋" w:eastAsia="仿宋"/>
          <w:color w:val="000000"/>
        </w:rPr>
        <w:t>坚决遏制重复建设，淘汰屠宰量小、污染环境和质量安全、安全生产管理能力弱的企业。</w:t>
      </w:r>
    </w:p>
    <w:p>
      <w:pPr>
        <w:spacing w:line="560" w:lineRule="exact"/>
        <w:ind w:firstLine="640" w:firstLineChars="200"/>
        <w:jc w:val="left"/>
        <w:rPr>
          <w:rFonts w:ascii="楷体" w:hAnsi="楷体" w:eastAsia="楷体"/>
          <w:color w:val="000000"/>
          <w:shd w:val="clear" w:color="auto" w:fill="FFFFFF"/>
        </w:rPr>
      </w:pPr>
      <w:r>
        <w:rPr>
          <w:rFonts w:ascii="楷体" w:hAnsi="楷体" w:eastAsia="楷体"/>
          <w:color w:val="000000"/>
          <w:shd w:val="clear" w:color="auto" w:fill="FFFFFF"/>
        </w:rPr>
        <w:t>（二）强化监督管理，保障畜禽产品质量安全</w:t>
      </w:r>
    </w:p>
    <w:p>
      <w:pPr>
        <w:spacing w:line="560" w:lineRule="exact"/>
        <w:ind w:firstLine="643" w:firstLineChars="200"/>
        <w:jc w:val="left"/>
        <w:rPr>
          <w:rFonts w:ascii="仿宋" w:hAnsi="仿宋" w:eastAsia="仿宋"/>
          <w:color w:val="000000"/>
        </w:rPr>
      </w:pPr>
      <w:r>
        <w:rPr>
          <w:rFonts w:hint="eastAsia" w:ascii="仿宋" w:hAnsi="仿宋" w:eastAsia="仿宋"/>
          <w:b/>
          <w:bCs/>
          <w:color w:val="000000"/>
          <w:shd w:val="clear" w:color="auto" w:fill="FFFFFF"/>
        </w:rPr>
        <w:t>2.</w:t>
      </w:r>
      <w:r>
        <w:rPr>
          <w:rFonts w:ascii="仿宋" w:hAnsi="仿宋" w:eastAsia="仿宋"/>
          <w:b/>
          <w:bCs/>
          <w:color w:val="000000"/>
          <w:shd w:val="clear" w:color="auto" w:fill="FFFFFF"/>
        </w:rPr>
        <w:t>严格</w:t>
      </w:r>
      <w:r>
        <w:rPr>
          <w:rFonts w:hint="eastAsia" w:ascii="仿宋" w:hAnsi="仿宋" w:eastAsia="仿宋"/>
          <w:b/>
          <w:bCs/>
          <w:color w:val="000000"/>
          <w:shd w:val="clear" w:color="auto" w:fill="FFFFFF"/>
        </w:rPr>
        <w:t>准入</w:t>
      </w:r>
      <w:r>
        <w:rPr>
          <w:rFonts w:ascii="仿宋" w:hAnsi="仿宋" w:eastAsia="仿宋"/>
          <w:b/>
          <w:bCs/>
          <w:color w:val="000000"/>
          <w:shd w:val="clear" w:color="auto" w:fill="FFFFFF"/>
        </w:rPr>
        <w:t>管理。</w:t>
      </w:r>
      <w:r>
        <w:rPr>
          <w:rFonts w:ascii="仿宋" w:hAnsi="仿宋" w:eastAsia="仿宋"/>
          <w:color w:val="000000"/>
        </w:rPr>
        <w:t>各地要加强生猪定点屠宰企业准入管理，严格落实</w:t>
      </w:r>
      <w:r>
        <w:rPr>
          <w:rFonts w:ascii="仿宋" w:hAnsi="仿宋" w:eastAsia="仿宋"/>
        </w:rPr>
        <w:t>《关于</w:t>
      </w:r>
      <w:r>
        <w:rPr>
          <w:rFonts w:hint="eastAsia" w:ascii="仿宋" w:hAnsi="仿宋" w:eastAsia="仿宋"/>
        </w:rPr>
        <w:t>进一步明确</w:t>
      </w:r>
      <w:r>
        <w:rPr>
          <w:rFonts w:ascii="仿宋" w:hAnsi="仿宋" w:eastAsia="仿宋"/>
        </w:rPr>
        <w:t>生猪屠宰企业建设和验收工作</w:t>
      </w:r>
      <w:r>
        <w:rPr>
          <w:rFonts w:hint="eastAsia" w:ascii="仿宋" w:hAnsi="仿宋" w:eastAsia="仿宋"/>
        </w:rPr>
        <w:t>要求</w:t>
      </w:r>
      <w:r>
        <w:rPr>
          <w:rFonts w:ascii="仿宋" w:hAnsi="仿宋" w:eastAsia="仿宋"/>
        </w:rPr>
        <w:t>的通知》（</w:t>
      </w:r>
      <w:r>
        <w:rPr>
          <w:rFonts w:hint="eastAsia" w:ascii="仿宋" w:hAnsi="仿宋" w:eastAsia="仿宋"/>
        </w:rPr>
        <w:t>泰</w:t>
      </w:r>
      <w:r>
        <w:rPr>
          <w:rFonts w:ascii="仿宋" w:hAnsi="仿宋" w:eastAsia="仿宋"/>
        </w:rPr>
        <w:t>农牧〔20</w:t>
      </w:r>
      <w:r>
        <w:rPr>
          <w:rFonts w:hint="eastAsia" w:ascii="仿宋" w:hAnsi="仿宋" w:eastAsia="仿宋"/>
        </w:rPr>
        <w:t>20</w:t>
      </w:r>
      <w:r>
        <w:rPr>
          <w:rFonts w:ascii="仿宋" w:hAnsi="仿宋" w:eastAsia="仿宋"/>
        </w:rPr>
        <w:t>〕</w:t>
      </w:r>
      <w:r>
        <w:rPr>
          <w:rFonts w:hint="eastAsia" w:ascii="仿宋" w:hAnsi="仿宋" w:eastAsia="仿宋"/>
        </w:rPr>
        <w:t>38</w:t>
      </w:r>
      <w:r>
        <w:rPr>
          <w:rFonts w:ascii="仿宋" w:hAnsi="仿宋" w:eastAsia="仿宋"/>
        </w:rPr>
        <w:t>号）要求</w:t>
      </w:r>
      <w:r>
        <w:rPr>
          <w:rFonts w:ascii="仿宋" w:hAnsi="仿宋" w:eastAsia="仿宋"/>
          <w:color w:val="000000"/>
        </w:rPr>
        <w:t>规范审批，加快淘汰桥式劈半锯、敞式生猪烫毛机。牛羊家禽继续推行集中屠宰管理，依法取得动物防疫条件合格证和排污许可证（或排污登记）</w:t>
      </w:r>
      <w:r>
        <w:rPr>
          <w:rFonts w:hint="eastAsia" w:ascii="仿宋" w:hAnsi="仿宋" w:eastAsia="仿宋"/>
          <w:color w:val="000000"/>
        </w:rPr>
        <w:t>，</w:t>
      </w:r>
      <w:r>
        <w:rPr>
          <w:rFonts w:ascii="仿宋" w:hAnsi="仿宋" w:eastAsia="仿宋"/>
          <w:color w:val="000000"/>
        </w:rPr>
        <w:t>并具备《畜牧法》规定的条件方可经营。各</w:t>
      </w:r>
      <w:r>
        <w:rPr>
          <w:rFonts w:ascii="仿宋" w:hAnsi="仿宋" w:eastAsia="仿宋"/>
          <w:color w:val="000000"/>
          <w:spacing w:val="6"/>
        </w:rPr>
        <w:t>地</w:t>
      </w:r>
      <w:r>
        <w:rPr>
          <w:rFonts w:hint="eastAsia" w:ascii="仿宋" w:hAnsi="仿宋" w:eastAsia="仿宋"/>
          <w:color w:val="000000"/>
          <w:spacing w:val="6"/>
        </w:rPr>
        <w:t>应</w:t>
      </w:r>
      <w:r>
        <w:rPr>
          <w:rFonts w:ascii="仿宋" w:hAnsi="仿宋" w:eastAsia="仿宋"/>
          <w:color w:val="000000"/>
          <w:spacing w:val="6"/>
        </w:rPr>
        <w:t>及时向社会公布合法合规企业名</w:t>
      </w:r>
      <w:r>
        <w:rPr>
          <w:rFonts w:ascii="仿宋" w:hAnsi="仿宋" w:eastAsia="仿宋"/>
          <w:color w:val="000000"/>
        </w:rPr>
        <w:t>单，对于依法设立的屠宰加工场所，动物卫生监督机构方可派驻（出）官方兽医实施检疫。</w:t>
      </w:r>
    </w:p>
    <w:p>
      <w:pPr>
        <w:widowControl/>
        <w:spacing w:line="560" w:lineRule="exact"/>
        <w:ind w:firstLine="643" w:firstLineChars="200"/>
        <w:jc w:val="left"/>
        <w:rPr>
          <w:rFonts w:ascii="仿宋" w:hAnsi="仿宋" w:eastAsia="仿宋"/>
          <w:color w:val="000000"/>
        </w:rPr>
      </w:pPr>
      <w:r>
        <w:rPr>
          <w:rFonts w:hint="eastAsia" w:ascii="仿宋" w:hAnsi="仿宋" w:eastAsia="仿宋"/>
          <w:b/>
          <w:bCs/>
          <w:color w:val="000000"/>
          <w:shd w:val="clear" w:color="auto" w:fill="FFFFFF"/>
        </w:rPr>
        <w:t>3.强化监督管理</w:t>
      </w:r>
      <w:r>
        <w:rPr>
          <w:rFonts w:ascii="仿宋" w:hAnsi="仿宋" w:eastAsia="仿宋"/>
          <w:b/>
          <w:bCs/>
          <w:color w:val="000000"/>
          <w:shd w:val="clear" w:color="auto" w:fill="FFFFFF"/>
        </w:rPr>
        <w:t>。</w:t>
      </w:r>
      <w:r>
        <w:rPr>
          <w:rFonts w:ascii="仿宋" w:hAnsi="仿宋" w:eastAsia="仿宋"/>
          <w:color w:val="000000"/>
        </w:rPr>
        <w:t>各地要加强对畜禽屠宰活动的日常监督检查，完善远程视频监控巡查、常态化暗访检查、“双随机”抽查机制。实施屠宰企业信用档案管理，规范事中事后监管。要认真落实部、省畜禽屠宰质量安全风险监测计划，加强风险监测能力建设和经费保障，强化风险监测结果应用，做好溯源核查，有针对性地开展监督检查。按照</w:t>
      </w:r>
      <w:r>
        <w:rPr>
          <w:rFonts w:hint="eastAsia" w:ascii="仿宋" w:hAnsi="仿宋" w:eastAsia="仿宋"/>
          <w:color w:val="000000"/>
        </w:rPr>
        <w:t>市</w:t>
      </w:r>
      <w:r>
        <w:rPr>
          <w:rFonts w:ascii="仿宋" w:hAnsi="仿宋" w:eastAsia="仿宋"/>
          <w:color w:val="000000"/>
        </w:rPr>
        <w:t>级“双随机”检查工作安排，各</w:t>
      </w:r>
      <w:r>
        <w:rPr>
          <w:rFonts w:hint="eastAsia" w:ascii="仿宋" w:hAnsi="仿宋" w:eastAsia="仿宋"/>
          <w:color w:val="000000"/>
        </w:rPr>
        <w:t>地</w:t>
      </w:r>
      <w:r>
        <w:rPr>
          <w:rFonts w:ascii="仿宋" w:hAnsi="仿宋" w:eastAsia="仿宋"/>
          <w:color w:val="000000"/>
        </w:rPr>
        <w:t>应在每年9月30日前完成现场检查，并在系统中完成整改材料上传等工作。全面落实推进生猪屠宰GMP，鼓励参照生猪屠宰GMP对其他畜禽实施屠宰GMP。</w:t>
      </w:r>
    </w:p>
    <w:p>
      <w:pPr>
        <w:spacing w:line="560" w:lineRule="exact"/>
        <w:ind w:firstLine="643" w:firstLineChars="200"/>
        <w:jc w:val="left"/>
        <w:rPr>
          <w:rFonts w:ascii="仿宋" w:hAnsi="仿宋" w:eastAsia="仿宋"/>
          <w:color w:val="000000"/>
        </w:rPr>
      </w:pPr>
      <w:r>
        <w:rPr>
          <w:rFonts w:hint="eastAsia" w:ascii="仿宋" w:hAnsi="仿宋" w:eastAsia="仿宋"/>
          <w:b/>
          <w:bCs/>
          <w:color w:val="000000"/>
          <w:shd w:val="clear" w:color="auto" w:fill="FFFFFF"/>
        </w:rPr>
        <w:t>4.</w:t>
      </w:r>
      <w:r>
        <w:rPr>
          <w:rFonts w:ascii="仿宋" w:hAnsi="仿宋" w:eastAsia="仿宋"/>
          <w:b/>
          <w:bCs/>
          <w:color w:val="000000"/>
          <w:shd w:val="clear" w:color="auto" w:fill="FFFFFF"/>
        </w:rPr>
        <w:t>严惩违法违规行为。</w:t>
      </w:r>
      <w:r>
        <w:rPr>
          <w:rFonts w:ascii="仿宋" w:hAnsi="仿宋" w:eastAsia="仿宋"/>
          <w:color w:val="000000"/>
        </w:rPr>
        <w:t>依法依规严肃查处未按规定建立质量安全管理制度，出场销售未经检验、检疫或者经检验、检疫不合格的畜禽产品，以及屠宰病死畜禽、私屠滥宰、注药注水等违法行为。各地要建立健全屠宰违法行为举报制度，加强部门间的协调配合，强化行政执法与刑事司法衔接，及时向公安机关移送涉嫌犯罪案件，严惩重处违法犯罪行为。落实“处罚到人”要求，依法实施行业禁入规定。</w:t>
      </w:r>
    </w:p>
    <w:p>
      <w:pPr>
        <w:spacing w:line="560" w:lineRule="exact"/>
        <w:ind w:firstLine="640" w:firstLineChars="200"/>
        <w:jc w:val="left"/>
        <w:rPr>
          <w:rFonts w:ascii="楷体" w:hAnsi="楷体" w:eastAsia="楷体"/>
          <w:color w:val="000000"/>
          <w:shd w:val="clear" w:color="auto" w:fill="FFFFFF"/>
        </w:rPr>
      </w:pPr>
      <w:r>
        <w:rPr>
          <w:rFonts w:ascii="楷体" w:hAnsi="楷体" w:eastAsia="楷体"/>
          <w:color w:val="000000"/>
          <w:shd w:val="clear" w:color="auto" w:fill="FFFFFF"/>
        </w:rPr>
        <w:t>（三）压实主体责任，筑牢安全防线</w:t>
      </w:r>
    </w:p>
    <w:p>
      <w:pPr>
        <w:spacing w:line="560" w:lineRule="exact"/>
        <w:ind w:firstLine="643" w:firstLineChars="200"/>
        <w:rPr>
          <w:rFonts w:ascii="仿宋" w:hAnsi="仿宋" w:eastAsia="仿宋"/>
        </w:rPr>
      </w:pPr>
      <w:r>
        <w:rPr>
          <w:rFonts w:hint="eastAsia" w:ascii="仿宋" w:hAnsi="仿宋" w:eastAsia="仿宋"/>
          <w:b/>
          <w:bCs/>
          <w:color w:val="000000"/>
          <w:shd w:val="clear" w:color="auto" w:fill="FFFFFF"/>
        </w:rPr>
        <w:t>5.</w:t>
      </w:r>
      <w:r>
        <w:rPr>
          <w:rFonts w:ascii="仿宋" w:hAnsi="仿宋" w:eastAsia="仿宋"/>
          <w:b/>
          <w:bCs/>
          <w:color w:val="000000"/>
          <w:shd w:val="clear" w:color="auto" w:fill="FFFFFF"/>
        </w:rPr>
        <w:t>强化能力建设。</w:t>
      </w:r>
      <w:r>
        <w:rPr>
          <w:rFonts w:ascii="仿宋" w:hAnsi="仿宋" w:eastAsia="仿宋"/>
          <w:color w:val="000000"/>
        </w:rPr>
        <w:t>各地要规范开展兽医卫生检验人员</w:t>
      </w:r>
      <w:r>
        <w:rPr>
          <w:rFonts w:hint="eastAsia" w:ascii="仿宋" w:hAnsi="仿宋" w:eastAsia="仿宋"/>
          <w:color w:val="000000"/>
        </w:rPr>
        <w:t>培训</w:t>
      </w:r>
      <w:r>
        <w:rPr>
          <w:rFonts w:ascii="仿宋" w:hAnsi="仿宋" w:eastAsia="仿宋"/>
          <w:color w:val="000000"/>
        </w:rPr>
        <w:t>考核，积极推进生猪屠宰企业兽医卫生检验人员考核发证工作，到2025年底，全</w:t>
      </w:r>
      <w:r>
        <w:rPr>
          <w:rFonts w:hint="eastAsia" w:ascii="仿宋" w:hAnsi="仿宋" w:eastAsia="仿宋"/>
          <w:color w:val="000000"/>
        </w:rPr>
        <w:t>市</w:t>
      </w:r>
      <w:r>
        <w:rPr>
          <w:rFonts w:ascii="仿宋" w:hAnsi="仿宋" w:eastAsia="仿宋"/>
          <w:color w:val="000000"/>
        </w:rPr>
        <w:t>生猪屠宰企业全部按规定配备经考核合格的兽医卫生检验人员，牛羊家禽屠宰企业兽医卫生检验人员考核稳步推进。要督促屠宰企业建立落实内部培训考核制度，确保企业人员掌握相关法律法规和专业知识技能，加强人员防护管理，配备必要的防护用品，落实人畜共患病防控措施。督促屠宰企业依法执行畜禽屠宰车间设置规范、操作规程、卫生规范、消毒规范、品质检验方面的标准和技术要求。鼓励企业实施畜禽肉分割、质量分级、屠宰加工设备等推荐性国家标准和行业标准。</w:t>
      </w:r>
    </w:p>
    <w:p>
      <w:pPr>
        <w:spacing w:line="560" w:lineRule="exact"/>
        <w:ind w:firstLine="640" w:firstLineChars="200"/>
        <w:jc w:val="left"/>
        <w:rPr>
          <w:rFonts w:ascii="仿宋" w:hAnsi="仿宋" w:eastAsia="仿宋"/>
          <w:color w:val="000000"/>
        </w:rPr>
      </w:pPr>
      <w:r>
        <w:rPr>
          <w:rFonts w:hint="eastAsia" w:ascii="仿宋" w:hAnsi="仿宋" w:eastAsia="仿宋"/>
          <w:color w:val="000000"/>
          <w:shd w:val="clear" w:color="auto" w:fill="FFFFFF"/>
        </w:rPr>
        <w:t>6.</w:t>
      </w:r>
      <w:r>
        <w:rPr>
          <w:rFonts w:ascii="仿宋" w:hAnsi="仿宋" w:eastAsia="仿宋"/>
          <w:b/>
          <w:bCs/>
          <w:color w:val="000000"/>
          <w:shd w:val="clear" w:color="auto" w:fill="FFFFFF"/>
        </w:rPr>
        <w:t>强化质量安全责任。</w:t>
      </w:r>
      <w:r>
        <w:rPr>
          <w:rFonts w:hint="eastAsia" w:ascii="仿宋" w:hAnsi="仿宋" w:eastAsia="仿宋" w:cs="方正仿宋_GBK"/>
          <w:color w:val="000000"/>
          <w:shd w:val="clear" w:color="auto" w:fill="FFFFFF"/>
        </w:rPr>
        <w:t>各地要督促屠宰企业切实履行畜禽产品质量安全、动物疫病防控主体责任，严格落实法律法规和有关要求，建立健全从畜禽进场查验到产品出场以及问题产品召回等全过程质量安全管理制度，把好产品质量安全关；严格落实屠宰检疫申报、动物疫病检测、动物疫情报告和清洗消毒等疫病防控管理制度。</w:t>
      </w:r>
      <w:r>
        <w:rPr>
          <w:rFonts w:hint="eastAsia" w:ascii="仿宋" w:hAnsi="仿宋" w:eastAsia="仿宋" w:cs="方正仿宋_GBK"/>
          <w:bCs/>
        </w:rPr>
        <w:t>严格畜禽屠宰代宰行为管理。</w:t>
      </w:r>
    </w:p>
    <w:p>
      <w:pPr>
        <w:spacing w:line="560" w:lineRule="exact"/>
        <w:ind w:firstLine="640" w:firstLineChars="200"/>
        <w:rPr>
          <w:rFonts w:ascii="仿宋" w:hAnsi="仿宋" w:eastAsia="仿宋"/>
          <w:bCs/>
        </w:rPr>
      </w:pPr>
      <w:r>
        <w:rPr>
          <w:rFonts w:hint="eastAsia" w:ascii="仿宋" w:hAnsi="仿宋" w:eastAsia="仿宋"/>
          <w:color w:val="000000"/>
        </w:rPr>
        <w:t>7.</w:t>
      </w:r>
      <w:r>
        <w:rPr>
          <w:rFonts w:ascii="仿宋" w:hAnsi="仿宋" w:eastAsia="仿宋"/>
          <w:b/>
          <w:bCs/>
          <w:color w:val="000000"/>
          <w:shd w:val="clear" w:color="auto" w:fill="FFFFFF"/>
        </w:rPr>
        <w:t>强化生产安全责任。</w:t>
      </w:r>
      <w:r>
        <w:rPr>
          <w:rFonts w:ascii="仿宋" w:hAnsi="仿宋" w:eastAsia="仿宋"/>
          <w:color w:val="000000"/>
        </w:rPr>
        <w:t>各地要督促屠宰企业切实履行安全生产主体责任，在全面辨识较大以上风险基础上，按期完成年度风险报告，并全面落实风险管控措施。深入开展屠宰企业冷库安全排查整治，</w:t>
      </w:r>
      <w:r>
        <w:rPr>
          <w:rFonts w:ascii="仿宋" w:hAnsi="仿宋" w:eastAsia="仿宋"/>
        </w:rPr>
        <w:t>按照“6个查清”原则组织对辖区内畜禽屠宰企业所属冷库开展全口径（包含在营和停产）排查，掌握冷库安全管理真实现状，及时排除风险隐患。要督促企业切实加强所属冷库建设、改造、拆除、使用等安全管理，压紧压实企业安全生产和消防主体责任，严格履行动火审批、持证上岗、作业监护等措施。要严格监督执法，对检查发现的违法违规行为，要会同有关部门依法严格查处，情节严重的，要立即采取停产停业整顿、吊销相关证照、关闭取缔等措施。</w:t>
      </w:r>
    </w:p>
    <w:p>
      <w:pPr>
        <w:spacing w:line="560" w:lineRule="exact"/>
        <w:ind w:firstLine="640" w:firstLineChars="200"/>
        <w:jc w:val="left"/>
        <w:rPr>
          <w:rFonts w:ascii="楷体" w:hAnsi="楷体" w:eastAsia="楷体"/>
          <w:color w:val="000000"/>
          <w:shd w:val="clear" w:color="auto" w:fill="FFFFFF"/>
        </w:rPr>
      </w:pPr>
      <w:r>
        <w:rPr>
          <w:rFonts w:ascii="楷体" w:hAnsi="楷体" w:eastAsia="楷体"/>
          <w:color w:val="000000"/>
          <w:shd w:val="clear" w:color="auto" w:fill="FFFFFF"/>
        </w:rPr>
        <w:t>（四）加强支撑保障，促进行业高质量发展</w:t>
      </w:r>
    </w:p>
    <w:p>
      <w:pPr>
        <w:spacing w:line="560" w:lineRule="exact"/>
        <w:ind w:firstLine="643" w:firstLineChars="200"/>
        <w:jc w:val="left"/>
        <w:rPr>
          <w:rFonts w:ascii="仿宋" w:hAnsi="仿宋" w:eastAsia="仿宋"/>
          <w:color w:val="000000"/>
        </w:rPr>
      </w:pPr>
      <w:r>
        <w:rPr>
          <w:rFonts w:hint="eastAsia" w:ascii="仿宋" w:hAnsi="仿宋" w:eastAsia="仿宋"/>
          <w:b/>
          <w:bCs/>
          <w:color w:val="000000"/>
          <w:shd w:val="clear" w:color="auto" w:fill="FFFFFF"/>
        </w:rPr>
        <w:t>8.</w:t>
      </w:r>
      <w:r>
        <w:rPr>
          <w:rFonts w:ascii="仿宋" w:hAnsi="仿宋" w:eastAsia="仿宋"/>
          <w:b/>
          <w:bCs/>
          <w:color w:val="000000"/>
          <w:shd w:val="clear" w:color="auto" w:fill="FFFFFF"/>
        </w:rPr>
        <w:t>推进示范创建。</w:t>
      </w:r>
      <w:r>
        <w:rPr>
          <w:rFonts w:ascii="仿宋" w:hAnsi="仿宋" w:eastAsia="仿宋"/>
          <w:color w:val="000000"/>
        </w:rPr>
        <w:t>深入推进生猪屠宰标准化示范创建，建立奖补机制，支持屠宰企业积极参与标准化创建，提升硬件设施和软件管理水平，到202</w:t>
      </w:r>
      <w:r>
        <w:rPr>
          <w:rFonts w:hint="eastAsia" w:ascii="仿宋" w:hAnsi="仿宋" w:eastAsia="仿宋"/>
          <w:color w:val="000000"/>
        </w:rPr>
        <w:t>4</w:t>
      </w:r>
      <w:r>
        <w:rPr>
          <w:rFonts w:ascii="仿宋" w:hAnsi="仿宋" w:eastAsia="仿宋"/>
          <w:color w:val="000000"/>
        </w:rPr>
        <w:t>年底，</w:t>
      </w:r>
      <w:r>
        <w:rPr>
          <w:rFonts w:hint="eastAsia" w:ascii="仿宋" w:hAnsi="仿宋" w:eastAsia="仿宋"/>
        </w:rPr>
        <w:t>姜堰区</w:t>
      </w:r>
      <w:r>
        <w:rPr>
          <w:rFonts w:ascii="仿宋" w:hAnsi="仿宋" w:eastAsia="仿宋"/>
        </w:rPr>
        <w:t>要力争创建1家国家标准化示范场，</w:t>
      </w:r>
      <w:r>
        <w:rPr>
          <w:rFonts w:hint="eastAsia" w:ascii="仿宋" w:hAnsi="仿宋" w:eastAsia="仿宋"/>
        </w:rPr>
        <w:t>其他市（区）</w:t>
      </w:r>
      <w:r>
        <w:rPr>
          <w:rFonts w:ascii="仿宋" w:hAnsi="仿宋" w:eastAsia="仿宋"/>
        </w:rPr>
        <w:t>年屠宰量8万头以上的企业要全部达到新的省级标准。要</w:t>
      </w:r>
      <w:r>
        <w:rPr>
          <w:rFonts w:ascii="仿宋" w:hAnsi="仿宋" w:eastAsia="仿宋"/>
          <w:color w:val="000000"/>
        </w:rPr>
        <w:t>加强标准化建设宣传引导，鼓励广泛使用农业农村部制定发布的专用标识，促进品牌建设。要加强对示范单位后续监管，实行动态管理，经评估不再符合条件要求的取消示范单位称号。在非洲猪瘟等重大动物疫病分区防控中，优先将屠宰标准化示范单位纳入“点对点”调运接受企业范围。</w:t>
      </w:r>
      <w:r>
        <w:rPr>
          <w:rFonts w:ascii="仿宋" w:hAnsi="仿宋" w:eastAsia="仿宋"/>
        </w:rPr>
        <w:t>支持发展养殖、屠宰、加工、冷链销售全产业链经营，提高“预制菜”等精深加工产品的比重，提升产品附加值和市场竞争力</w:t>
      </w:r>
      <w:r>
        <w:rPr>
          <w:rFonts w:ascii="仿宋" w:hAnsi="仿宋" w:eastAsia="仿宋"/>
          <w:color w:val="000000"/>
        </w:rPr>
        <w:t>。</w:t>
      </w:r>
    </w:p>
    <w:p>
      <w:pPr>
        <w:spacing w:line="560" w:lineRule="exact"/>
        <w:ind w:firstLine="643" w:firstLineChars="200"/>
        <w:jc w:val="left"/>
        <w:rPr>
          <w:rFonts w:ascii="仿宋" w:hAnsi="仿宋" w:eastAsia="仿宋"/>
          <w:color w:val="000000"/>
        </w:rPr>
      </w:pPr>
      <w:r>
        <w:rPr>
          <w:rFonts w:hint="eastAsia" w:ascii="仿宋" w:hAnsi="仿宋" w:eastAsia="仿宋"/>
          <w:b/>
          <w:bCs/>
          <w:color w:val="000000"/>
          <w:shd w:val="clear" w:color="auto" w:fill="FFFFFF"/>
        </w:rPr>
        <w:t>9.</w:t>
      </w:r>
      <w:r>
        <w:rPr>
          <w:rFonts w:ascii="仿宋" w:hAnsi="仿宋" w:eastAsia="仿宋"/>
          <w:b/>
          <w:bCs/>
          <w:color w:val="000000"/>
          <w:shd w:val="clear" w:color="auto" w:fill="FFFFFF"/>
        </w:rPr>
        <w:t>推进智慧监管。</w:t>
      </w:r>
      <w:r>
        <w:rPr>
          <w:rFonts w:ascii="仿宋" w:hAnsi="仿宋" w:eastAsia="仿宋"/>
          <w:color w:val="000000"/>
        </w:rPr>
        <w:t>智慧畜牧平台畜禽屠宰管理模块</w:t>
      </w:r>
      <w:r>
        <w:rPr>
          <w:rFonts w:hint="eastAsia" w:ascii="仿宋" w:hAnsi="仿宋" w:eastAsia="仿宋"/>
          <w:color w:val="000000"/>
        </w:rPr>
        <w:t>试点运用结束后</w:t>
      </w:r>
      <w:r>
        <w:rPr>
          <w:rFonts w:ascii="仿宋" w:hAnsi="仿宋" w:eastAsia="仿宋"/>
          <w:color w:val="000000"/>
        </w:rPr>
        <w:t>，</w:t>
      </w:r>
      <w:r>
        <w:rPr>
          <w:rFonts w:hint="eastAsia" w:ascii="仿宋" w:hAnsi="仿宋" w:eastAsia="仿宋"/>
          <w:color w:val="000000"/>
        </w:rPr>
        <w:t>按照省通知要求，</w:t>
      </w:r>
      <w:r>
        <w:rPr>
          <w:rFonts w:ascii="仿宋" w:hAnsi="仿宋" w:eastAsia="仿宋"/>
          <w:color w:val="000000"/>
        </w:rPr>
        <w:t>全面推进入场查验、宰后检验、产品出场全程信息化管理</w:t>
      </w:r>
      <w:r>
        <w:rPr>
          <w:rFonts w:hint="eastAsia" w:ascii="仿宋" w:hAnsi="仿宋" w:eastAsia="仿宋"/>
          <w:color w:val="000000"/>
        </w:rPr>
        <w:t>，</w:t>
      </w:r>
      <w:r>
        <w:rPr>
          <w:rFonts w:ascii="仿宋" w:hAnsi="仿宋" w:eastAsia="仿宋"/>
          <w:color w:val="000000"/>
        </w:rPr>
        <w:t>积极推动无纸化出具肉品品质检验合格证，促进屠宰检疫和肉品品质检验信息关联，实现产地到屠宰质量信息赋码追溯管理。落实畜禽屠宰统计调查制度，加强统计信息报送，实现屠宰企业全覆盖、监测指标全覆盖，提高数据报送的时效性、准确性和完整性，强化统计数据应用。</w:t>
      </w:r>
    </w:p>
    <w:p>
      <w:pPr>
        <w:spacing w:line="560" w:lineRule="exact"/>
        <w:ind w:firstLine="640" w:firstLineChars="200"/>
        <w:jc w:val="left"/>
        <w:rPr>
          <w:rFonts w:ascii="黑体" w:hAnsi="黑体" w:eastAsia="黑体"/>
          <w:color w:val="000000"/>
          <w:shd w:val="clear" w:color="auto" w:fill="FFFFFF"/>
        </w:rPr>
      </w:pPr>
      <w:r>
        <w:rPr>
          <w:rFonts w:ascii="黑体" w:hAnsi="黑体" w:eastAsia="黑体"/>
          <w:color w:val="000000"/>
          <w:shd w:val="clear" w:color="auto" w:fill="FFFFFF"/>
        </w:rPr>
        <w:t>三、保障措施</w:t>
      </w:r>
    </w:p>
    <w:p>
      <w:pPr>
        <w:spacing w:line="560" w:lineRule="exact"/>
        <w:ind w:firstLine="640" w:firstLineChars="200"/>
        <w:jc w:val="left"/>
        <w:rPr>
          <w:rFonts w:ascii="仿宋" w:hAnsi="仿宋" w:eastAsia="仿宋"/>
          <w:color w:val="000000"/>
        </w:rPr>
      </w:pPr>
      <w:r>
        <w:rPr>
          <w:rFonts w:ascii="楷体" w:hAnsi="楷体" w:eastAsia="楷体"/>
          <w:color w:val="000000"/>
          <w:shd w:val="clear" w:color="auto" w:fill="FFFFFF"/>
        </w:rPr>
        <w:t>（一）加强组织领导。</w:t>
      </w:r>
      <w:r>
        <w:rPr>
          <w:rFonts w:hint="eastAsia" w:ascii="仿宋" w:hAnsi="仿宋" w:eastAsia="仿宋"/>
          <w:color w:val="000000"/>
        </w:rPr>
        <w:t>各地</w:t>
      </w:r>
      <w:r>
        <w:rPr>
          <w:rFonts w:ascii="仿宋" w:hAnsi="仿宋" w:eastAsia="仿宋"/>
          <w:color w:val="000000"/>
        </w:rPr>
        <w:t>要高度重视，按照本方案要求，结合辖区实际，明确年度重点任务和工作措施，序时推进。要加强与公安、市场监管、生态环境等部门的沟通协作，积极解决三年行动方案实施过程中遇到的困难和问题，确保各项工作落实落地。</w:t>
      </w:r>
      <w:r>
        <w:rPr>
          <w:rFonts w:hint="eastAsia" w:ascii="仿宋" w:hAnsi="仿宋" w:eastAsia="仿宋"/>
          <w:color w:val="000000"/>
        </w:rPr>
        <w:t>各地在三年行动期间，</w:t>
      </w:r>
      <w:r>
        <w:rPr>
          <w:rFonts w:ascii="仿宋" w:hAnsi="仿宋" w:eastAsia="仿宋"/>
          <w:color w:val="000000"/>
        </w:rPr>
        <w:t>每年12月</w:t>
      </w:r>
      <w:r>
        <w:rPr>
          <w:rFonts w:hint="eastAsia" w:ascii="仿宋" w:hAnsi="仿宋" w:eastAsia="仿宋"/>
          <w:color w:val="000000"/>
        </w:rPr>
        <w:t>1</w:t>
      </w:r>
      <w:r>
        <w:rPr>
          <w:rFonts w:ascii="仿宋" w:hAnsi="仿宋" w:eastAsia="仿宋"/>
          <w:color w:val="000000"/>
        </w:rPr>
        <w:t>0日前将年度工作进展情况书面总结材料报我</w:t>
      </w:r>
      <w:r>
        <w:rPr>
          <w:rFonts w:hint="eastAsia" w:ascii="仿宋" w:hAnsi="仿宋" w:eastAsia="仿宋"/>
          <w:color w:val="000000"/>
        </w:rPr>
        <w:t>局</w:t>
      </w:r>
      <w:r>
        <w:rPr>
          <w:rFonts w:ascii="仿宋" w:hAnsi="仿宋" w:eastAsia="仿宋"/>
          <w:color w:val="000000"/>
        </w:rPr>
        <w:t>；2026年1月</w:t>
      </w:r>
      <w:r>
        <w:rPr>
          <w:rFonts w:hint="eastAsia" w:ascii="仿宋" w:hAnsi="仿宋" w:eastAsia="仿宋"/>
          <w:color w:val="000000"/>
        </w:rPr>
        <w:t>20日</w:t>
      </w:r>
      <w:r>
        <w:rPr>
          <w:rFonts w:ascii="仿宋" w:hAnsi="仿宋" w:eastAsia="仿宋"/>
          <w:color w:val="000000"/>
        </w:rPr>
        <w:t>前报送三年行动工作总结。</w:t>
      </w:r>
      <w:r>
        <w:rPr>
          <w:rFonts w:ascii="仿宋" w:hAnsi="仿宋" w:eastAsia="仿宋"/>
        </w:rPr>
        <w:t>联系人：</w:t>
      </w:r>
      <w:r>
        <w:rPr>
          <w:rFonts w:hint="eastAsia" w:ascii="仿宋" w:hAnsi="仿宋" w:eastAsia="仿宋"/>
          <w:color w:val="000000"/>
        </w:rPr>
        <w:t>朱志江</w:t>
      </w:r>
      <w:r>
        <w:rPr>
          <w:rFonts w:ascii="仿宋" w:hAnsi="仿宋" w:eastAsia="仿宋"/>
        </w:rPr>
        <w:t>，电话：</w:t>
      </w:r>
      <w:r>
        <w:rPr>
          <w:rFonts w:hint="eastAsia" w:ascii="仿宋" w:hAnsi="仿宋" w:eastAsia="仿宋"/>
        </w:rPr>
        <w:t>86893977</w:t>
      </w:r>
      <w:r>
        <w:rPr>
          <w:rFonts w:ascii="仿宋" w:hAnsi="仿宋" w:eastAsia="仿宋"/>
        </w:rPr>
        <w:t>。</w:t>
      </w:r>
    </w:p>
    <w:p>
      <w:pPr>
        <w:spacing w:line="560" w:lineRule="exact"/>
        <w:ind w:firstLine="640" w:firstLineChars="200"/>
        <w:jc w:val="left"/>
        <w:rPr>
          <w:rFonts w:hint="eastAsia"/>
          <w:color w:val="000000"/>
        </w:rPr>
      </w:pPr>
      <w:r>
        <w:rPr>
          <w:rFonts w:ascii="楷体" w:hAnsi="楷体" w:eastAsia="楷体"/>
          <w:color w:val="000000"/>
          <w:shd w:val="clear" w:color="auto" w:fill="FFFFFF"/>
        </w:rPr>
        <w:t>（二）</w:t>
      </w:r>
      <w:r>
        <w:rPr>
          <w:rFonts w:hint="eastAsia" w:ascii="楷体" w:hAnsi="楷体" w:eastAsia="楷体"/>
          <w:color w:val="000000"/>
        </w:rPr>
        <w:t>加强政策扶持。</w:t>
      </w:r>
      <w:r>
        <w:rPr>
          <w:rFonts w:hint="eastAsia"/>
          <w:color w:val="000000"/>
        </w:rPr>
        <w:t>各地</w:t>
      </w:r>
      <w:r>
        <w:rPr>
          <w:color w:val="000000"/>
        </w:rPr>
        <w:t>要</w:t>
      </w:r>
      <w:r>
        <w:rPr>
          <w:rFonts w:hint="eastAsia"/>
          <w:color w:val="000000"/>
        </w:rPr>
        <w:t>结合实际，</w:t>
      </w:r>
      <w:r>
        <w:rPr>
          <w:color w:val="000000"/>
        </w:rPr>
        <w:t>制定促进畜禽屠宰产业发展、强化行业监管的政策措施，将畜禽屠宰监管、检测、执法等工作经费纳入各级财政预算。发挥财政资金引导作用，探索以信贷担保、贴息等方式，支持畜禽屠宰企业加大投入，开展标准化创建，发展全产业链经营，培育名优品牌，推动转型升级发展。</w:t>
      </w:r>
      <w:r>
        <w:rPr>
          <w:rFonts w:hint="eastAsia"/>
          <w:color w:val="000000"/>
        </w:rPr>
        <w:t xml:space="preserve"> </w:t>
      </w:r>
    </w:p>
    <w:p>
      <w:pPr>
        <w:spacing w:line="560" w:lineRule="exact"/>
        <w:ind w:firstLine="640" w:firstLineChars="200"/>
        <w:jc w:val="left"/>
        <w:rPr>
          <w:rFonts w:ascii="仿宋" w:hAnsi="仿宋" w:eastAsia="仿宋"/>
          <w:color w:val="000000"/>
        </w:rPr>
      </w:pPr>
      <w:r>
        <w:rPr>
          <w:rFonts w:ascii="楷体" w:hAnsi="楷体" w:eastAsia="楷体"/>
          <w:color w:val="000000"/>
          <w:shd w:val="clear" w:color="auto" w:fill="FFFFFF"/>
        </w:rPr>
        <w:t>（三）加强宣传引导。</w:t>
      </w:r>
      <w:r>
        <w:rPr>
          <w:rFonts w:hint="eastAsia" w:ascii="仿宋" w:hAnsi="仿宋" w:eastAsia="仿宋"/>
          <w:color w:val="000000"/>
          <w:shd w:val="clear" w:color="auto" w:fill="FFFFFF"/>
        </w:rPr>
        <w:t>大力</w:t>
      </w:r>
      <w:r>
        <w:rPr>
          <w:rFonts w:ascii="仿宋" w:hAnsi="仿宋" w:eastAsia="仿宋"/>
          <w:color w:val="000000"/>
        </w:rPr>
        <w:t>开展相关法律法规的学习和宣传，教育和引导畜禽屠宰从业人员自觉守法、规范经营，形成全社会共同维护肉品质量安全的良好</w:t>
      </w:r>
      <w:r>
        <w:rPr>
          <w:color w:val="000000"/>
        </w:rPr>
        <w:t>氛围。</w:t>
      </w:r>
      <w:r>
        <w:rPr>
          <w:rFonts w:ascii="仿宋" w:hAnsi="仿宋" w:eastAsia="仿宋"/>
          <w:color w:val="000000"/>
        </w:rPr>
        <w:t>综合利用各类媒体，向广大消费者</w:t>
      </w:r>
      <w:r>
        <w:rPr>
          <w:color w:val="000000"/>
        </w:rPr>
        <w:t>宣传肉品科学消费常识，增</w:t>
      </w:r>
      <w:r>
        <w:rPr>
          <w:rFonts w:ascii="仿宋" w:hAnsi="仿宋" w:eastAsia="仿宋"/>
          <w:color w:val="000000"/>
        </w:rPr>
        <w:t>强质量安全意识和品牌消费意识。强化突发事件舆论引导，及时回应群众对肉品安全的关切，努力为畜禽屠宰行业发展营造更好的舆论环境。</w:t>
      </w:r>
    </w:p>
    <w:p>
      <w:pPr>
        <w:spacing w:line="560" w:lineRule="exact"/>
        <w:ind w:firstLine="640" w:firstLineChars="200"/>
        <w:jc w:val="left"/>
        <w:rPr>
          <w:rFonts w:eastAsia="方正仿宋_GBK"/>
          <w:color w:val="000000"/>
        </w:rPr>
      </w:pPr>
    </w:p>
    <w:p>
      <w:pPr>
        <w:spacing w:line="580" w:lineRule="exact"/>
        <w:ind w:firstLine="640"/>
        <w:rPr>
          <w:rFonts w:eastAsia="方正仿宋_GBK"/>
          <w:color w:val="000000"/>
        </w:rPr>
      </w:pPr>
    </w:p>
    <w:p>
      <w:pPr>
        <w:pStyle w:val="2"/>
        <w:ind w:left="640" w:firstLine="640"/>
      </w:pPr>
    </w:p>
    <w:p>
      <w:pPr>
        <w:pStyle w:val="2"/>
        <w:ind w:left="640" w:firstLine="640"/>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pStyle w:val="2"/>
        <w:ind w:left="640" w:firstLine="640"/>
        <w:rPr>
          <w:rFonts w:hint="eastAsia"/>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pStyle w:val="13"/>
        <w:shd w:val="clear" w:color="auto" w:fill="FFFFFF"/>
        <w:spacing w:before="0" w:beforeAutospacing="0" w:after="0" w:afterAutospacing="0" w:line="320" w:lineRule="exact"/>
        <w:ind w:firstLine="360" w:firstLineChars="150"/>
        <w:rPr>
          <w:rFonts w:ascii="仿宋_GB2312" w:hAnsi="Times New Roman" w:eastAsia="仿宋_GB2312" w:cs="Times New Roman"/>
          <w:color w:val="000000"/>
          <w:kern w:val="2"/>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5547360" cy="0"/>
                <wp:effectExtent l="0" t="9525" r="15240" b="9525"/>
                <wp:wrapNone/>
                <wp:docPr id="2" name="直线 2"/>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pt;height:0pt;width:436.8pt;z-index:251660288;mso-width-relative:page;mso-height-relative:page;" filled="f" stroked="t" coordsize="21600,21600" o:gfxdata="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0VIbTTAAAA&#10;BgEAAA8AAAAAAAAAAQAgAAAAIgAAAGRycy9kb3ducmV2LnhtbFBLAQIUABQAAAAIAIdO4kDCxX0+&#10;6QEAANwDAAAOAAAAAAAAAAEAIAAAACIBAABkcnMvZTJvRG9jLnhtbFBLBQYAAAAABgAGAFkBAAB9&#10;BQAAAAA=&#10;">
                <v:fill on="f" focussize="0,0"/>
                <v:stroke weight="1.5pt" color="#000000" joinstyle="round"/>
                <v:imagedata o:title=""/>
                <o:lock v:ext="edit" aspectratio="f"/>
              </v:line>
            </w:pict>
          </mc:Fallback>
        </mc:AlternateContent>
      </w:r>
    </w:p>
    <w:p>
      <w:pPr>
        <w:spacing w:line="320" w:lineRule="exact"/>
        <w:ind w:firstLine="160" w:firstLineChars="50"/>
        <w:rPr>
          <w:rFonts w:ascii="仿宋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294640</wp:posOffset>
                </wp:positionV>
                <wp:extent cx="5547360" cy="0"/>
                <wp:effectExtent l="0" t="9525" r="15240" b="9525"/>
                <wp:wrapNone/>
                <wp:docPr id="1" name="直线 4"/>
                <wp:cNvGraphicFramePr/>
                <a:graphic xmlns:a="http://schemas.openxmlformats.org/drawingml/2006/main">
                  <a:graphicData uri="http://schemas.microsoft.com/office/word/2010/wordprocessingShape">
                    <wps:wsp>
                      <wps:cNvCn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3.2pt;height:0pt;width:436.8pt;z-index:251659264;mso-width-relative:page;mso-height-relative:page;" filled="f" stroked="t" coordsize="21600,21600" o:gfxdata="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Y/1rUAAAA&#10;BgEAAA8AAAAAAAAAAQAgAAAAIgAAAGRycy9kb3ducmV2LnhtbFBLAQIUABQAAAAIAIdO4kAUbQOw&#10;6AEAANwDAAAOAAAAAAAAAAEAIAAAACMBAABkcnMvZTJvRG9jLnhtbFBLBQYAAAAABgAGAFkBAAB9&#10;BQAAAAA=&#10;">
                <v:fill on="f" focussize="0,0"/>
                <v:stroke weight="1.5pt" color="#000000" joinstyle="round"/>
                <v:imagedata o:title=""/>
                <o:lock v:ext="edit" aspectratio="f"/>
              </v:line>
            </w:pict>
          </mc:Fallback>
        </mc:AlternateContent>
      </w:r>
      <w:r>
        <w:rPr>
          <w:rFonts w:hint="eastAsia" w:ascii="仿宋_GB2312" w:cs="仿宋_GB2312"/>
          <w:color w:val="000000"/>
          <w:sz w:val="28"/>
          <w:szCs w:val="28"/>
        </w:rPr>
        <w:t>泰州市农业农村局</w:t>
      </w:r>
      <w:r>
        <w:rPr>
          <w:rFonts w:ascii="仿宋_GB2312" w:cs="仿宋_GB2312"/>
          <w:color w:val="000000"/>
          <w:sz w:val="28"/>
          <w:szCs w:val="28"/>
        </w:rPr>
        <w:t xml:space="preserve">                       </w:t>
      </w:r>
      <w:r>
        <w:rPr>
          <w:rFonts w:hint="eastAsia" w:ascii="仿宋_GB2312" w:cs="仿宋_GB2312"/>
          <w:color w:val="000000"/>
          <w:sz w:val="28"/>
          <w:szCs w:val="28"/>
          <w:lang w:val="en-US" w:eastAsia="zh-CN"/>
        </w:rPr>
        <w:t xml:space="preserve"> </w:t>
      </w:r>
      <w:r>
        <w:rPr>
          <w:rFonts w:ascii="仿宋_GB2312" w:cs="仿宋_GB2312"/>
          <w:color w:val="000000"/>
          <w:sz w:val="28"/>
          <w:szCs w:val="28"/>
        </w:rPr>
        <w:t xml:space="preserve"> 202</w:t>
      </w:r>
      <w:r>
        <w:rPr>
          <w:rFonts w:hint="eastAsia" w:ascii="仿宋_GB2312" w:cs="仿宋_GB2312"/>
          <w:color w:val="000000"/>
          <w:sz w:val="28"/>
          <w:szCs w:val="28"/>
          <w:lang w:val="en-US" w:eastAsia="zh-CN"/>
        </w:rPr>
        <w:t>3</w:t>
      </w:r>
      <w:r>
        <w:rPr>
          <w:rFonts w:hint="eastAsia" w:ascii="仿宋_GB2312" w:cs="仿宋_GB2312"/>
          <w:color w:val="000000"/>
          <w:sz w:val="28"/>
          <w:szCs w:val="28"/>
        </w:rPr>
        <w:t>年</w:t>
      </w:r>
      <w:r>
        <w:rPr>
          <w:rFonts w:hint="eastAsia" w:ascii="仿宋_GB2312" w:cs="仿宋_GB2312"/>
          <w:color w:val="000000"/>
          <w:sz w:val="28"/>
          <w:szCs w:val="28"/>
          <w:lang w:val="en-US" w:eastAsia="zh-CN"/>
        </w:rPr>
        <w:t>5</w:t>
      </w:r>
      <w:r>
        <w:rPr>
          <w:rFonts w:hint="eastAsia" w:ascii="仿宋_GB2312" w:cs="仿宋_GB2312"/>
          <w:color w:val="000000"/>
          <w:sz w:val="28"/>
          <w:szCs w:val="28"/>
        </w:rPr>
        <w:t>月</w:t>
      </w:r>
      <w:r>
        <w:rPr>
          <w:rFonts w:hint="eastAsia" w:ascii="仿宋_GB2312" w:cs="仿宋_GB2312"/>
          <w:color w:val="000000"/>
          <w:sz w:val="28"/>
          <w:szCs w:val="28"/>
          <w:lang w:val="en-US" w:eastAsia="zh-CN"/>
        </w:rPr>
        <w:t>25</w:t>
      </w:r>
      <w:r>
        <w:rPr>
          <w:rFonts w:hint="eastAsia" w:ascii="仿宋_GB2312" w:cs="仿宋_GB2312"/>
          <w:color w:val="000000"/>
          <w:sz w:val="28"/>
          <w:szCs w:val="28"/>
        </w:rPr>
        <w:t>日印发</w:t>
      </w:r>
    </w:p>
    <w:sectPr>
      <w:pgSz w:w="11906" w:h="16838"/>
      <w:pgMar w:top="1417" w:right="1474" w:bottom="1417" w:left="1587" w:header="851" w:footer="1417" w:gutter="0"/>
      <w:pgNumType w:fmt="numberInDash"/>
      <w:cols w:space="0" w:num="1"/>
      <w:rtlGutter w:val="0"/>
      <w:docGrid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Q5YWUwMWU0YmQ5MDViNmI0M2IzYjgxNTE0NTIifQ=="/>
  </w:docVars>
  <w:rsids>
    <w:rsidRoot w:val="002A55AE"/>
    <w:rsid w:val="00000BC2"/>
    <w:rsid w:val="00000D7E"/>
    <w:rsid w:val="00001B03"/>
    <w:rsid w:val="00004C23"/>
    <w:rsid w:val="000061B8"/>
    <w:rsid w:val="00007F69"/>
    <w:rsid w:val="000102C0"/>
    <w:rsid w:val="00013070"/>
    <w:rsid w:val="00013CF7"/>
    <w:rsid w:val="0002299F"/>
    <w:rsid w:val="0002382E"/>
    <w:rsid w:val="000241D7"/>
    <w:rsid w:val="00024AB0"/>
    <w:rsid w:val="00031A19"/>
    <w:rsid w:val="000326EC"/>
    <w:rsid w:val="00035B0A"/>
    <w:rsid w:val="000406A1"/>
    <w:rsid w:val="00041EB1"/>
    <w:rsid w:val="00042FE6"/>
    <w:rsid w:val="00044289"/>
    <w:rsid w:val="00050592"/>
    <w:rsid w:val="00053B63"/>
    <w:rsid w:val="00053E3B"/>
    <w:rsid w:val="00063012"/>
    <w:rsid w:val="00065E85"/>
    <w:rsid w:val="00066182"/>
    <w:rsid w:val="00072958"/>
    <w:rsid w:val="000770C4"/>
    <w:rsid w:val="00077F79"/>
    <w:rsid w:val="00080C13"/>
    <w:rsid w:val="00081599"/>
    <w:rsid w:val="00081CB7"/>
    <w:rsid w:val="000853F4"/>
    <w:rsid w:val="00085B40"/>
    <w:rsid w:val="0009039B"/>
    <w:rsid w:val="0009064E"/>
    <w:rsid w:val="00091156"/>
    <w:rsid w:val="0009166E"/>
    <w:rsid w:val="0009340B"/>
    <w:rsid w:val="00093B23"/>
    <w:rsid w:val="0009462E"/>
    <w:rsid w:val="0009565F"/>
    <w:rsid w:val="00096D56"/>
    <w:rsid w:val="000A0CA0"/>
    <w:rsid w:val="000A3B17"/>
    <w:rsid w:val="000A4661"/>
    <w:rsid w:val="000A5B09"/>
    <w:rsid w:val="000A76E8"/>
    <w:rsid w:val="000A798C"/>
    <w:rsid w:val="000B0983"/>
    <w:rsid w:val="000B0A7F"/>
    <w:rsid w:val="000B1349"/>
    <w:rsid w:val="000B1404"/>
    <w:rsid w:val="000B1AAC"/>
    <w:rsid w:val="000B1D8C"/>
    <w:rsid w:val="000B1DD8"/>
    <w:rsid w:val="000B1EE6"/>
    <w:rsid w:val="000B7BA9"/>
    <w:rsid w:val="000C19F7"/>
    <w:rsid w:val="000C4C12"/>
    <w:rsid w:val="000D03B6"/>
    <w:rsid w:val="000D1995"/>
    <w:rsid w:val="000D4803"/>
    <w:rsid w:val="000D4FCF"/>
    <w:rsid w:val="000D75CE"/>
    <w:rsid w:val="000E094A"/>
    <w:rsid w:val="000E0EE4"/>
    <w:rsid w:val="000E1092"/>
    <w:rsid w:val="000E1BD7"/>
    <w:rsid w:val="000E2536"/>
    <w:rsid w:val="000E288B"/>
    <w:rsid w:val="000E2DBB"/>
    <w:rsid w:val="000E65F6"/>
    <w:rsid w:val="000F2D56"/>
    <w:rsid w:val="000F3F8A"/>
    <w:rsid w:val="000F3FCB"/>
    <w:rsid w:val="000F4E14"/>
    <w:rsid w:val="00100793"/>
    <w:rsid w:val="00100D3D"/>
    <w:rsid w:val="00110559"/>
    <w:rsid w:val="0011168C"/>
    <w:rsid w:val="00112DCD"/>
    <w:rsid w:val="00115A29"/>
    <w:rsid w:val="00116909"/>
    <w:rsid w:val="0011690F"/>
    <w:rsid w:val="0011738A"/>
    <w:rsid w:val="00124F80"/>
    <w:rsid w:val="001265E0"/>
    <w:rsid w:val="00130143"/>
    <w:rsid w:val="001319D2"/>
    <w:rsid w:val="00131ECC"/>
    <w:rsid w:val="00133DF7"/>
    <w:rsid w:val="001363C4"/>
    <w:rsid w:val="001439B4"/>
    <w:rsid w:val="001446A3"/>
    <w:rsid w:val="001523C4"/>
    <w:rsid w:val="00154C02"/>
    <w:rsid w:val="0015540B"/>
    <w:rsid w:val="00155E36"/>
    <w:rsid w:val="00161B8C"/>
    <w:rsid w:val="0016485A"/>
    <w:rsid w:val="00165F7D"/>
    <w:rsid w:val="00166A0A"/>
    <w:rsid w:val="00170617"/>
    <w:rsid w:val="001710DC"/>
    <w:rsid w:val="001715A2"/>
    <w:rsid w:val="00175211"/>
    <w:rsid w:val="00175A88"/>
    <w:rsid w:val="001762FF"/>
    <w:rsid w:val="00177D59"/>
    <w:rsid w:val="001813E0"/>
    <w:rsid w:val="0018193D"/>
    <w:rsid w:val="001821D4"/>
    <w:rsid w:val="0018283F"/>
    <w:rsid w:val="00186040"/>
    <w:rsid w:val="00186882"/>
    <w:rsid w:val="00190147"/>
    <w:rsid w:val="001916B0"/>
    <w:rsid w:val="00192C09"/>
    <w:rsid w:val="00192C0C"/>
    <w:rsid w:val="001967E0"/>
    <w:rsid w:val="00197419"/>
    <w:rsid w:val="00197BC5"/>
    <w:rsid w:val="001A0CB5"/>
    <w:rsid w:val="001A1777"/>
    <w:rsid w:val="001A1A11"/>
    <w:rsid w:val="001A2316"/>
    <w:rsid w:val="001A5475"/>
    <w:rsid w:val="001A5C99"/>
    <w:rsid w:val="001A7C84"/>
    <w:rsid w:val="001B0DB3"/>
    <w:rsid w:val="001B113E"/>
    <w:rsid w:val="001B3E72"/>
    <w:rsid w:val="001B46A2"/>
    <w:rsid w:val="001B4877"/>
    <w:rsid w:val="001B4EBE"/>
    <w:rsid w:val="001B65BD"/>
    <w:rsid w:val="001C7AE8"/>
    <w:rsid w:val="001D1299"/>
    <w:rsid w:val="001D4EF6"/>
    <w:rsid w:val="001D4F07"/>
    <w:rsid w:val="001D4FA5"/>
    <w:rsid w:val="001D530F"/>
    <w:rsid w:val="001D6179"/>
    <w:rsid w:val="001D74A5"/>
    <w:rsid w:val="001E23D0"/>
    <w:rsid w:val="001E2BAA"/>
    <w:rsid w:val="001E39ED"/>
    <w:rsid w:val="001E788E"/>
    <w:rsid w:val="001F3BBB"/>
    <w:rsid w:val="001F4CD7"/>
    <w:rsid w:val="001F5E69"/>
    <w:rsid w:val="00200676"/>
    <w:rsid w:val="002024B8"/>
    <w:rsid w:val="0020401C"/>
    <w:rsid w:val="00204806"/>
    <w:rsid w:val="002053EB"/>
    <w:rsid w:val="002058E9"/>
    <w:rsid w:val="00205B3F"/>
    <w:rsid w:val="00207145"/>
    <w:rsid w:val="00214FCC"/>
    <w:rsid w:val="002160C8"/>
    <w:rsid w:val="002165DC"/>
    <w:rsid w:val="00216833"/>
    <w:rsid w:val="00222B8D"/>
    <w:rsid w:val="00222E1E"/>
    <w:rsid w:val="00224C40"/>
    <w:rsid w:val="00224E0E"/>
    <w:rsid w:val="00225849"/>
    <w:rsid w:val="00226E96"/>
    <w:rsid w:val="00230A5F"/>
    <w:rsid w:val="00230BC3"/>
    <w:rsid w:val="002312CF"/>
    <w:rsid w:val="00231BCE"/>
    <w:rsid w:val="00237B16"/>
    <w:rsid w:val="00237BD2"/>
    <w:rsid w:val="00242EB4"/>
    <w:rsid w:val="00243398"/>
    <w:rsid w:val="00243D00"/>
    <w:rsid w:val="00245727"/>
    <w:rsid w:val="0024729E"/>
    <w:rsid w:val="002508B7"/>
    <w:rsid w:val="0025127A"/>
    <w:rsid w:val="002521DB"/>
    <w:rsid w:val="002528CF"/>
    <w:rsid w:val="00254165"/>
    <w:rsid w:val="00255E9A"/>
    <w:rsid w:val="00262377"/>
    <w:rsid w:val="00262855"/>
    <w:rsid w:val="00263D9E"/>
    <w:rsid w:val="00266848"/>
    <w:rsid w:val="00266FE1"/>
    <w:rsid w:val="00267D5E"/>
    <w:rsid w:val="00273FA6"/>
    <w:rsid w:val="00275E01"/>
    <w:rsid w:val="002760EA"/>
    <w:rsid w:val="00276BAC"/>
    <w:rsid w:val="00277514"/>
    <w:rsid w:val="00277DF9"/>
    <w:rsid w:val="00280F1D"/>
    <w:rsid w:val="002810BC"/>
    <w:rsid w:val="00281D5A"/>
    <w:rsid w:val="00284954"/>
    <w:rsid w:val="002867C8"/>
    <w:rsid w:val="00287136"/>
    <w:rsid w:val="00290F3D"/>
    <w:rsid w:val="00291F6C"/>
    <w:rsid w:val="00293855"/>
    <w:rsid w:val="002A37E3"/>
    <w:rsid w:val="002A42E8"/>
    <w:rsid w:val="002A55AE"/>
    <w:rsid w:val="002A5A25"/>
    <w:rsid w:val="002A6DED"/>
    <w:rsid w:val="002B0413"/>
    <w:rsid w:val="002B0A73"/>
    <w:rsid w:val="002B1E30"/>
    <w:rsid w:val="002B2780"/>
    <w:rsid w:val="002B37F3"/>
    <w:rsid w:val="002B47B6"/>
    <w:rsid w:val="002B5B4B"/>
    <w:rsid w:val="002B6863"/>
    <w:rsid w:val="002B6F70"/>
    <w:rsid w:val="002B7B9E"/>
    <w:rsid w:val="002C0E7B"/>
    <w:rsid w:val="002C2530"/>
    <w:rsid w:val="002C39E2"/>
    <w:rsid w:val="002C3E1F"/>
    <w:rsid w:val="002C4039"/>
    <w:rsid w:val="002C47D7"/>
    <w:rsid w:val="002C4C24"/>
    <w:rsid w:val="002C53D8"/>
    <w:rsid w:val="002C721E"/>
    <w:rsid w:val="002D1201"/>
    <w:rsid w:val="002D4804"/>
    <w:rsid w:val="002D58E9"/>
    <w:rsid w:val="002D5ECE"/>
    <w:rsid w:val="002D722B"/>
    <w:rsid w:val="002D7406"/>
    <w:rsid w:val="002E5409"/>
    <w:rsid w:val="002E6023"/>
    <w:rsid w:val="002E719E"/>
    <w:rsid w:val="003007A3"/>
    <w:rsid w:val="003012D2"/>
    <w:rsid w:val="003041E4"/>
    <w:rsid w:val="003055A1"/>
    <w:rsid w:val="00306046"/>
    <w:rsid w:val="00311BBD"/>
    <w:rsid w:val="00313890"/>
    <w:rsid w:val="00314597"/>
    <w:rsid w:val="00316275"/>
    <w:rsid w:val="003171CE"/>
    <w:rsid w:val="00317984"/>
    <w:rsid w:val="003240B7"/>
    <w:rsid w:val="00324778"/>
    <w:rsid w:val="00324D12"/>
    <w:rsid w:val="00330DC4"/>
    <w:rsid w:val="00331AEE"/>
    <w:rsid w:val="0033379A"/>
    <w:rsid w:val="0034347A"/>
    <w:rsid w:val="003450A1"/>
    <w:rsid w:val="00345256"/>
    <w:rsid w:val="00345EF2"/>
    <w:rsid w:val="00352CA0"/>
    <w:rsid w:val="00353E59"/>
    <w:rsid w:val="00356419"/>
    <w:rsid w:val="003568B6"/>
    <w:rsid w:val="003631AA"/>
    <w:rsid w:val="003632CE"/>
    <w:rsid w:val="003635C5"/>
    <w:rsid w:val="003710B0"/>
    <w:rsid w:val="00371347"/>
    <w:rsid w:val="00371370"/>
    <w:rsid w:val="003721E2"/>
    <w:rsid w:val="0037255B"/>
    <w:rsid w:val="00373214"/>
    <w:rsid w:val="00373D71"/>
    <w:rsid w:val="003742B2"/>
    <w:rsid w:val="00374763"/>
    <w:rsid w:val="00374E19"/>
    <w:rsid w:val="00375EE3"/>
    <w:rsid w:val="00380C0F"/>
    <w:rsid w:val="00382350"/>
    <w:rsid w:val="00385FB6"/>
    <w:rsid w:val="00386CC6"/>
    <w:rsid w:val="00391068"/>
    <w:rsid w:val="003919F1"/>
    <w:rsid w:val="00392A8B"/>
    <w:rsid w:val="00394360"/>
    <w:rsid w:val="00397195"/>
    <w:rsid w:val="003A3036"/>
    <w:rsid w:val="003A371E"/>
    <w:rsid w:val="003A5F3C"/>
    <w:rsid w:val="003B31BD"/>
    <w:rsid w:val="003B5474"/>
    <w:rsid w:val="003B5B56"/>
    <w:rsid w:val="003B5C3D"/>
    <w:rsid w:val="003C2B56"/>
    <w:rsid w:val="003C2C2D"/>
    <w:rsid w:val="003C39DD"/>
    <w:rsid w:val="003C458C"/>
    <w:rsid w:val="003C7D38"/>
    <w:rsid w:val="003D18A6"/>
    <w:rsid w:val="003D2B1E"/>
    <w:rsid w:val="003D449C"/>
    <w:rsid w:val="003D5A81"/>
    <w:rsid w:val="003D66D8"/>
    <w:rsid w:val="003F1AA7"/>
    <w:rsid w:val="003F21C7"/>
    <w:rsid w:val="003F2B75"/>
    <w:rsid w:val="003F45AF"/>
    <w:rsid w:val="003F4D43"/>
    <w:rsid w:val="003F4E1B"/>
    <w:rsid w:val="003F613F"/>
    <w:rsid w:val="003F752C"/>
    <w:rsid w:val="00402DEF"/>
    <w:rsid w:val="00403DB7"/>
    <w:rsid w:val="0040442F"/>
    <w:rsid w:val="004063D5"/>
    <w:rsid w:val="00406E85"/>
    <w:rsid w:val="0041012B"/>
    <w:rsid w:val="004105FB"/>
    <w:rsid w:val="00410BC5"/>
    <w:rsid w:val="00412B68"/>
    <w:rsid w:val="0041326F"/>
    <w:rsid w:val="004174D8"/>
    <w:rsid w:val="004176D1"/>
    <w:rsid w:val="00420621"/>
    <w:rsid w:val="00420A0A"/>
    <w:rsid w:val="0042125B"/>
    <w:rsid w:val="00421A00"/>
    <w:rsid w:val="00424989"/>
    <w:rsid w:val="00426BFE"/>
    <w:rsid w:val="00426EFD"/>
    <w:rsid w:val="00430242"/>
    <w:rsid w:val="00430EDC"/>
    <w:rsid w:val="00431AB7"/>
    <w:rsid w:val="004330E8"/>
    <w:rsid w:val="0043509D"/>
    <w:rsid w:val="00436662"/>
    <w:rsid w:val="00436E8A"/>
    <w:rsid w:val="00437661"/>
    <w:rsid w:val="004377CB"/>
    <w:rsid w:val="004401D2"/>
    <w:rsid w:val="00440BDE"/>
    <w:rsid w:val="00440F9F"/>
    <w:rsid w:val="0044193F"/>
    <w:rsid w:val="00441A34"/>
    <w:rsid w:val="004436B1"/>
    <w:rsid w:val="00443A6B"/>
    <w:rsid w:val="00446763"/>
    <w:rsid w:val="004507A5"/>
    <w:rsid w:val="004511E6"/>
    <w:rsid w:val="00451A35"/>
    <w:rsid w:val="00453012"/>
    <w:rsid w:val="0045462C"/>
    <w:rsid w:val="00455253"/>
    <w:rsid w:val="00456B0C"/>
    <w:rsid w:val="004603B5"/>
    <w:rsid w:val="00460F47"/>
    <w:rsid w:val="004671A3"/>
    <w:rsid w:val="004675FB"/>
    <w:rsid w:val="00467CDC"/>
    <w:rsid w:val="00474E55"/>
    <w:rsid w:val="00483122"/>
    <w:rsid w:val="00484075"/>
    <w:rsid w:val="00484A04"/>
    <w:rsid w:val="00485C44"/>
    <w:rsid w:val="00486407"/>
    <w:rsid w:val="004864E0"/>
    <w:rsid w:val="00486E80"/>
    <w:rsid w:val="004870D6"/>
    <w:rsid w:val="004923B1"/>
    <w:rsid w:val="00493484"/>
    <w:rsid w:val="00494222"/>
    <w:rsid w:val="0049748D"/>
    <w:rsid w:val="004977CF"/>
    <w:rsid w:val="004A01B3"/>
    <w:rsid w:val="004A13F6"/>
    <w:rsid w:val="004A26CE"/>
    <w:rsid w:val="004A3D60"/>
    <w:rsid w:val="004A5A43"/>
    <w:rsid w:val="004A746A"/>
    <w:rsid w:val="004B2489"/>
    <w:rsid w:val="004B4309"/>
    <w:rsid w:val="004B69F4"/>
    <w:rsid w:val="004B75A3"/>
    <w:rsid w:val="004C0598"/>
    <w:rsid w:val="004C05E4"/>
    <w:rsid w:val="004C2B9A"/>
    <w:rsid w:val="004C41C4"/>
    <w:rsid w:val="004C64B0"/>
    <w:rsid w:val="004C770A"/>
    <w:rsid w:val="004D2D99"/>
    <w:rsid w:val="004D47F0"/>
    <w:rsid w:val="004D5933"/>
    <w:rsid w:val="004D60B2"/>
    <w:rsid w:val="004D7C39"/>
    <w:rsid w:val="004E3572"/>
    <w:rsid w:val="004E418F"/>
    <w:rsid w:val="004E4580"/>
    <w:rsid w:val="004E4650"/>
    <w:rsid w:val="004E6C19"/>
    <w:rsid w:val="004F0085"/>
    <w:rsid w:val="004F0D81"/>
    <w:rsid w:val="004F23D3"/>
    <w:rsid w:val="004F3EC8"/>
    <w:rsid w:val="004F67A4"/>
    <w:rsid w:val="004F7420"/>
    <w:rsid w:val="00501AC1"/>
    <w:rsid w:val="00501F31"/>
    <w:rsid w:val="005038CB"/>
    <w:rsid w:val="00506C4C"/>
    <w:rsid w:val="00507F83"/>
    <w:rsid w:val="00511582"/>
    <w:rsid w:val="00512917"/>
    <w:rsid w:val="00512AC7"/>
    <w:rsid w:val="00512E0A"/>
    <w:rsid w:val="00513498"/>
    <w:rsid w:val="00513DCF"/>
    <w:rsid w:val="00515933"/>
    <w:rsid w:val="00515C97"/>
    <w:rsid w:val="0051766A"/>
    <w:rsid w:val="00523AF9"/>
    <w:rsid w:val="005242C1"/>
    <w:rsid w:val="005242E9"/>
    <w:rsid w:val="00524316"/>
    <w:rsid w:val="00526690"/>
    <w:rsid w:val="00526D03"/>
    <w:rsid w:val="00530399"/>
    <w:rsid w:val="005371DA"/>
    <w:rsid w:val="005427A1"/>
    <w:rsid w:val="00542C95"/>
    <w:rsid w:val="0054310F"/>
    <w:rsid w:val="005454FA"/>
    <w:rsid w:val="00545D4E"/>
    <w:rsid w:val="00546124"/>
    <w:rsid w:val="00547628"/>
    <w:rsid w:val="0054790F"/>
    <w:rsid w:val="00550BB4"/>
    <w:rsid w:val="0055354F"/>
    <w:rsid w:val="00556051"/>
    <w:rsid w:val="00557C8B"/>
    <w:rsid w:val="00557E49"/>
    <w:rsid w:val="00560D3E"/>
    <w:rsid w:val="0056107D"/>
    <w:rsid w:val="0056161B"/>
    <w:rsid w:val="00561BEA"/>
    <w:rsid w:val="00563316"/>
    <w:rsid w:val="005643CA"/>
    <w:rsid w:val="005715F5"/>
    <w:rsid w:val="00572893"/>
    <w:rsid w:val="00572F59"/>
    <w:rsid w:val="0057602F"/>
    <w:rsid w:val="00576EEE"/>
    <w:rsid w:val="00577416"/>
    <w:rsid w:val="0058081B"/>
    <w:rsid w:val="005823F3"/>
    <w:rsid w:val="0058294C"/>
    <w:rsid w:val="00584665"/>
    <w:rsid w:val="0058558C"/>
    <w:rsid w:val="0058568A"/>
    <w:rsid w:val="00585AD5"/>
    <w:rsid w:val="005901F4"/>
    <w:rsid w:val="00591FB8"/>
    <w:rsid w:val="00597895"/>
    <w:rsid w:val="005A07C3"/>
    <w:rsid w:val="005A0C97"/>
    <w:rsid w:val="005A5415"/>
    <w:rsid w:val="005A58CF"/>
    <w:rsid w:val="005B0DA9"/>
    <w:rsid w:val="005B3854"/>
    <w:rsid w:val="005B4D30"/>
    <w:rsid w:val="005B60AD"/>
    <w:rsid w:val="005B63A8"/>
    <w:rsid w:val="005B65C3"/>
    <w:rsid w:val="005B6CC0"/>
    <w:rsid w:val="005C2D36"/>
    <w:rsid w:val="005C7845"/>
    <w:rsid w:val="005D01C3"/>
    <w:rsid w:val="005D0B5A"/>
    <w:rsid w:val="005D2057"/>
    <w:rsid w:val="005D4097"/>
    <w:rsid w:val="005D48CD"/>
    <w:rsid w:val="005D6FDA"/>
    <w:rsid w:val="005D7996"/>
    <w:rsid w:val="005E03F1"/>
    <w:rsid w:val="005E3309"/>
    <w:rsid w:val="005E387C"/>
    <w:rsid w:val="005E5F03"/>
    <w:rsid w:val="005E641A"/>
    <w:rsid w:val="005E68E1"/>
    <w:rsid w:val="005E751D"/>
    <w:rsid w:val="005F0FE5"/>
    <w:rsid w:val="005F152F"/>
    <w:rsid w:val="005F1C47"/>
    <w:rsid w:val="005F2515"/>
    <w:rsid w:val="005F3D99"/>
    <w:rsid w:val="005F4B9D"/>
    <w:rsid w:val="005F4EF5"/>
    <w:rsid w:val="005F775A"/>
    <w:rsid w:val="006012E6"/>
    <w:rsid w:val="00602F0E"/>
    <w:rsid w:val="00603C04"/>
    <w:rsid w:val="006041B1"/>
    <w:rsid w:val="00604C0E"/>
    <w:rsid w:val="0061225E"/>
    <w:rsid w:val="00612E3B"/>
    <w:rsid w:val="00614647"/>
    <w:rsid w:val="00614C57"/>
    <w:rsid w:val="0061599C"/>
    <w:rsid w:val="00615C3D"/>
    <w:rsid w:val="00621094"/>
    <w:rsid w:val="0062378C"/>
    <w:rsid w:val="0063619B"/>
    <w:rsid w:val="006378C9"/>
    <w:rsid w:val="00642CC6"/>
    <w:rsid w:val="00644B2D"/>
    <w:rsid w:val="00645A2B"/>
    <w:rsid w:val="0064627F"/>
    <w:rsid w:val="006518ED"/>
    <w:rsid w:val="006539A6"/>
    <w:rsid w:val="006541AF"/>
    <w:rsid w:val="00660D74"/>
    <w:rsid w:val="00664402"/>
    <w:rsid w:val="00666FA2"/>
    <w:rsid w:val="006677BD"/>
    <w:rsid w:val="00675385"/>
    <w:rsid w:val="006758C2"/>
    <w:rsid w:val="00680333"/>
    <w:rsid w:val="00682810"/>
    <w:rsid w:val="006849AE"/>
    <w:rsid w:val="006858A2"/>
    <w:rsid w:val="0069324C"/>
    <w:rsid w:val="006A1162"/>
    <w:rsid w:val="006A1245"/>
    <w:rsid w:val="006A1501"/>
    <w:rsid w:val="006A1838"/>
    <w:rsid w:val="006A38CA"/>
    <w:rsid w:val="006A4EA6"/>
    <w:rsid w:val="006B5DDD"/>
    <w:rsid w:val="006B6D7F"/>
    <w:rsid w:val="006C1613"/>
    <w:rsid w:val="006C45CE"/>
    <w:rsid w:val="006C5872"/>
    <w:rsid w:val="006D061B"/>
    <w:rsid w:val="006D0B4A"/>
    <w:rsid w:val="006D3367"/>
    <w:rsid w:val="006D39B4"/>
    <w:rsid w:val="006E0E36"/>
    <w:rsid w:val="006E1ED6"/>
    <w:rsid w:val="006E22F3"/>
    <w:rsid w:val="006E2CCE"/>
    <w:rsid w:val="006E4450"/>
    <w:rsid w:val="006E50CD"/>
    <w:rsid w:val="006F2FC3"/>
    <w:rsid w:val="006F4888"/>
    <w:rsid w:val="006F6118"/>
    <w:rsid w:val="006F611D"/>
    <w:rsid w:val="006F63C8"/>
    <w:rsid w:val="006F7499"/>
    <w:rsid w:val="00700E5B"/>
    <w:rsid w:val="007014E8"/>
    <w:rsid w:val="00706CC7"/>
    <w:rsid w:val="0071001E"/>
    <w:rsid w:val="00710381"/>
    <w:rsid w:val="00711F46"/>
    <w:rsid w:val="0071287D"/>
    <w:rsid w:val="00712C47"/>
    <w:rsid w:val="00714B12"/>
    <w:rsid w:val="00715442"/>
    <w:rsid w:val="007159C9"/>
    <w:rsid w:val="007200ED"/>
    <w:rsid w:val="007202A7"/>
    <w:rsid w:val="0072161E"/>
    <w:rsid w:val="007247AB"/>
    <w:rsid w:val="007254C5"/>
    <w:rsid w:val="00725E06"/>
    <w:rsid w:val="00726455"/>
    <w:rsid w:val="00735152"/>
    <w:rsid w:val="00735730"/>
    <w:rsid w:val="00735C2B"/>
    <w:rsid w:val="00736136"/>
    <w:rsid w:val="00737CB6"/>
    <w:rsid w:val="00741324"/>
    <w:rsid w:val="007414FF"/>
    <w:rsid w:val="00746D6E"/>
    <w:rsid w:val="00750AD0"/>
    <w:rsid w:val="0075372E"/>
    <w:rsid w:val="0075559B"/>
    <w:rsid w:val="0075690D"/>
    <w:rsid w:val="00756990"/>
    <w:rsid w:val="00756FCD"/>
    <w:rsid w:val="007606F1"/>
    <w:rsid w:val="00761366"/>
    <w:rsid w:val="00762E65"/>
    <w:rsid w:val="00764164"/>
    <w:rsid w:val="007675F4"/>
    <w:rsid w:val="00773620"/>
    <w:rsid w:val="00773853"/>
    <w:rsid w:val="00774295"/>
    <w:rsid w:val="00774706"/>
    <w:rsid w:val="007748AA"/>
    <w:rsid w:val="007778B9"/>
    <w:rsid w:val="00777EBE"/>
    <w:rsid w:val="0078206A"/>
    <w:rsid w:val="00782D09"/>
    <w:rsid w:val="0078393A"/>
    <w:rsid w:val="00784D9E"/>
    <w:rsid w:val="00790253"/>
    <w:rsid w:val="00790E3C"/>
    <w:rsid w:val="00791500"/>
    <w:rsid w:val="00792442"/>
    <w:rsid w:val="00792A10"/>
    <w:rsid w:val="00792B9F"/>
    <w:rsid w:val="00792CE1"/>
    <w:rsid w:val="00794368"/>
    <w:rsid w:val="00797153"/>
    <w:rsid w:val="007A11B5"/>
    <w:rsid w:val="007A31A6"/>
    <w:rsid w:val="007A3988"/>
    <w:rsid w:val="007A5535"/>
    <w:rsid w:val="007A7A78"/>
    <w:rsid w:val="007B0C3C"/>
    <w:rsid w:val="007B20E9"/>
    <w:rsid w:val="007B3B5B"/>
    <w:rsid w:val="007B43B6"/>
    <w:rsid w:val="007B5403"/>
    <w:rsid w:val="007B5B48"/>
    <w:rsid w:val="007B765A"/>
    <w:rsid w:val="007C1D8C"/>
    <w:rsid w:val="007C1DBA"/>
    <w:rsid w:val="007C390B"/>
    <w:rsid w:val="007C5D1B"/>
    <w:rsid w:val="007C6A2C"/>
    <w:rsid w:val="007C7256"/>
    <w:rsid w:val="007D18D6"/>
    <w:rsid w:val="007D1D3E"/>
    <w:rsid w:val="007D5C4C"/>
    <w:rsid w:val="007E15EE"/>
    <w:rsid w:val="007E208D"/>
    <w:rsid w:val="007E40B8"/>
    <w:rsid w:val="007E4E3D"/>
    <w:rsid w:val="007E5041"/>
    <w:rsid w:val="007E5912"/>
    <w:rsid w:val="007E5982"/>
    <w:rsid w:val="007E6589"/>
    <w:rsid w:val="007E79D3"/>
    <w:rsid w:val="007F05A3"/>
    <w:rsid w:val="007F092F"/>
    <w:rsid w:val="007F0B6A"/>
    <w:rsid w:val="008011D4"/>
    <w:rsid w:val="008020E9"/>
    <w:rsid w:val="008029E1"/>
    <w:rsid w:val="0080502F"/>
    <w:rsid w:val="008050F6"/>
    <w:rsid w:val="00806F44"/>
    <w:rsid w:val="008117C0"/>
    <w:rsid w:val="00811CF7"/>
    <w:rsid w:val="0081379D"/>
    <w:rsid w:val="00815073"/>
    <w:rsid w:val="00815496"/>
    <w:rsid w:val="008216AC"/>
    <w:rsid w:val="008231B2"/>
    <w:rsid w:val="008238B3"/>
    <w:rsid w:val="00823AC1"/>
    <w:rsid w:val="00823D39"/>
    <w:rsid w:val="00826A7B"/>
    <w:rsid w:val="00827DB2"/>
    <w:rsid w:val="00830289"/>
    <w:rsid w:val="00830878"/>
    <w:rsid w:val="00831B50"/>
    <w:rsid w:val="00832F4C"/>
    <w:rsid w:val="00836B77"/>
    <w:rsid w:val="00836C03"/>
    <w:rsid w:val="00836EE9"/>
    <w:rsid w:val="0083779A"/>
    <w:rsid w:val="00840EC2"/>
    <w:rsid w:val="00841287"/>
    <w:rsid w:val="008424AA"/>
    <w:rsid w:val="008447AD"/>
    <w:rsid w:val="008454C0"/>
    <w:rsid w:val="00845EBD"/>
    <w:rsid w:val="00846A0D"/>
    <w:rsid w:val="0084754D"/>
    <w:rsid w:val="00850005"/>
    <w:rsid w:val="008500C0"/>
    <w:rsid w:val="00850B0D"/>
    <w:rsid w:val="00850EDB"/>
    <w:rsid w:val="00852A42"/>
    <w:rsid w:val="00853F6C"/>
    <w:rsid w:val="00854F7C"/>
    <w:rsid w:val="00855C70"/>
    <w:rsid w:val="00855FAD"/>
    <w:rsid w:val="00857D82"/>
    <w:rsid w:val="008609CC"/>
    <w:rsid w:val="00860EDE"/>
    <w:rsid w:val="00863269"/>
    <w:rsid w:val="0086374B"/>
    <w:rsid w:val="0087061A"/>
    <w:rsid w:val="00872095"/>
    <w:rsid w:val="00877A1A"/>
    <w:rsid w:val="008803A5"/>
    <w:rsid w:val="00881A55"/>
    <w:rsid w:val="008831BD"/>
    <w:rsid w:val="0088661D"/>
    <w:rsid w:val="00890C92"/>
    <w:rsid w:val="00890D1C"/>
    <w:rsid w:val="00892BCE"/>
    <w:rsid w:val="008931FA"/>
    <w:rsid w:val="00897837"/>
    <w:rsid w:val="008A031C"/>
    <w:rsid w:val="008A19F9"/>
    <w:rsid w:val="008A271F"/>
    <w:rsid w:val="008A342B"/>
    <w:rsid w:val="008A4395"/>
    <w:rsid w:val="008A44D6"/>
    <w:rsid w:val="008A4BCA"/>
    <w:rsid w:val="008A4F38"/>
    <w:rsid w:val="008A55B8"/>
    <w:rsid w:val="008A6D22"/>
    <w:rsid w:val="008A7813"/>
    <w:rsid w:val="008B0F0E"/>
    <w:rsid w:val="008B2071"/>
    <w:rsid w:val="008B24BC"/>
    <w:rsid w:val="008B48DD"/>
    <w:rsid w:val="008B5E1B"/>
    <w:rsid w:val="008B63B6"/>
    <w:rsid w:val="008B7F35"/>
    <w:rsid w:val="008C3454"/>
    <w:rsid w:val="008C407E"/>
    <w:rsid w:val="008C4DC5"/>
    <w:rsid w:val="008C50EC"/>
    <w:rsid w:val="008C5182"/>
    <w:rsid w:val="008C7E3D"/>
    <w:rsid w:val="008D1221"/>
    <w:rsid w:val="008D590E"/>
    <w:rsid w:val="008D623F"/>
    <w:rsid w:val="008D636B"/>
    <w:rsid w:val="008D7D6A"/>
    <w:rsid w:val="008E0CF9"/>
    <w:rsid w:val="008E1303"/>
    <w:rsid w:val="008E3197"/>
    <w:rsid w:val="008E63A7"/>
    <w:rsid w:val="008F1BC8"/>
    <w:rsid w:val="008F23AB"/>
    <w:rsid w:val="008F2493"/>
    <w:rsid w:val="008F2D3A"/>
    <w:rsid w:val="008F3DED"/>
    <w:rsid w:val="009019C6"/>
    <w:rsid w:val="00902A84"/>
    <w:rsid w:val="009044C6"/>
    <w:rsid w:val="00905294"/>
    <w:rsid w:val="00905A51"/>
    <w:rsid w:val="009071AB"/>
    <w:rsid w:val="0091040A"/>
    <w:rsid w:val="0091209F"/>
    <w:rsid w:val="00913205"/>
    <w:rsid w:val="009153F1"/>
    <w:rsid w:val="00915929"/>
    <w:rsid w:val="009159D2"/>
    <w:rsid w:val="00915AA9"/>
    <w:rsid w:val="00917E6A"/>
    <w:rsid w:val="00920F2E"/>
    <w:rsid w:val="00921000"/>
    <w:rsid w:val="00921F76"/>
    <w:rsid w:val="00924880"/>
    <w:rsid w:val="0092578A"/>
    <w:rsid w:val="0093089C"/>
    <w:rsid w:val="00932C19"/>
    <w:rsid w:val="00934A2A"/>
    <w:rsid w:val="009435D2"/>
    <w:rsid w:val="00943841"/>
    <w:rsid w:val="00947B3C"/>
    <w:rsid w:val="0095094B"/>
    <w:rsid w:val="00960544"/>
    <w:rsid w:val="00961F74"/>
    <w:rsid w:val="009624F6"/>
    <w:rsid w:val="00964276"/>
    <w:rsid w:val="009665AD"/>
    <w:rsid w:val="00970ED0"/>
    <w:rsid w:val="009734B5"/>
    <w:rsid w:val="009748CD"/>
    <w:rsid w:val="00974F16"/>
    <w:rsid w:val="00976E4E"/>
    <w:rsid w:val="00980D02"/>
    <w:rsid w:val="009822E3"/>
    <w:rsid w:val="00982EA6"/>
    <w:rsid w:val="009832B5"/>
    <w:rsid w:val="009859DF"/>
    <w:rsid w:val="009860A0"/>
    <w:rsid w:val="00990FD5"/>
    <w:rsid w:val="00991620"/>
    <w:rsid w:val="00994720"/>
    <w:rsid w:val="0099493C"/>
    <w:rsid w:val="0099638D"/>
    <w:rsid w:val="009A024C"/>
    <w:rsid w:val="009A2A31"/>
    <w:rsid w:val="009A2CC7"/>
    <w:rsid w:val="009A3BFD"/>
    <w:rsid w:val="009B00CD"/>
    <w:rsid w:val="009B12DD"/>
    <w:rsid w:val="009B1592"/>
    <w:rsid w:val="009B2133"/>
    <w:rsid w:val="009B269E"/>
    <w:rsid w:val="009B2D69"/>
    <w:rsid w:val="009B2F28"/>
    <w:rsid w:val="009B3871"/>
    <w:rsid w:val="009B6A75"/>
    <w:rsid w:val="009B6E09"/>
    <w:rsid w:val="009C0A94"/>
    <w:rsid w:val="009C2A1A"/>
    <w:rsid w:val="009C3980"/>
    <w:rsid w:val="009C4F18"/>
    <w:rsid w:val="009D061D"/>
    <w:rsid w:val="009D2B6C"/>
    <w:rsid w:val="009D31F4"/>
    <w:rsid w:val="009D6D13"/>
    <w:rsid w:val="009E004E"/>
    <w:rsid w:val="009E0F07"/>
    <w:rsid w:val="009E55A3"/>
    <w:rsid w:val="009E5FF6"/>
    <w:rsid w:val="009E70C1"/>
    <w:rsid w:val="009E748C"/>
    <w:rsid w:val="009E7778"/>
    <w:rsid w:val="009E7FCC"/>
    <w:rsid w:val="009F1F39"/>
    <w:rsid w:val="009F213E"/>
    <w:rsid w:val="009F3299"/>
    <w:rsid w:val="009F69C4"/>
    <w:rsid w:val="00A022FF"/>
    <w:rsid w:val="00A02CD4"/>
    <w:rsid w:val="00A036E8"/>
    <w:rsid w:val="00A04FC9"/>
    <w:rsid w:val="00A12E15"/>
    <w:rsid w:val="00A149DA"/>
    <w:rsid w:val="00A15876"/>
    <w:rsid w:val="00A16964"/>
    <w:rsid w:val="00A1721B"/>
    <w:rsid w:val="00A1733E"/>
    <w:rsid w:val="00A20F3B"/>
    <w:rsid w:val="00A2330D"/>
    <w:rsid w:val="00A23B6E"/>
    <w:rsid w:val="00A32EA3"/>
    <w:rsid w:val="00A32F57"/>
    <w:rsid w:val="00A40FBA"/>
    <w:rsid w:val="00A41670"/>
    <w:rsid w:val="00A42053"/>
    <w:rsid w:val="00A5037B"/>
    <w:rsid w:val="00A528A5"/>
    <w:rsid w:val="00A54D39"/>
    <w:rsid w:val="00A5519D"/>
    <w:rsid w:val="00A5658B"/>
    <w:rsid w:val="00A635AF"/>
    <w:rsid w:val="00A64D5F"/>
    <w:rsid w:val="00A65059"/>
    <w:rsid w:val="00A676DE"/>
    <w:rsid w:val="00A753BF"/>
    <w:rsid w:val="00A76493"/>
    <w:rsid w:val="00A8056D"/>
    <w:rsid w:val="00A80A86"/>
    <w:rsid w:val="00A80E70"/>
    <w:rsid w:val="00A822A8"/>
    <w:rsid w:val="00A82367"/>
    <w:rsid w:val="00A903AC"/>
    <w:rsid w:val="00A9188A"/>
    <w:rsid w:val="00A91C54"/>
    <w:rsid w:val="00A92660"/>
    <w:rsid w:val="00A93B3A"/>
    <w:rsid w:val="00A945EB"/>
    <w:rsid w:val="00A96184"/>
    <w:rsid w:val="00A976EF"/>
    <w:rsid w:val="00AA04D8"/>
    <w:rsid w:val="00AA198E"/>
    <w:rsid w:val="00AA1AB2"/>
    <w:rsid w:val="00AA2B43"/>
    <w:rsid w:val="00AA2F10"/>
    <w:rsid w:val="00AA4505"/>
    <w:rsid w:val="00AA5449"/>
    <w:rsid w:val="00AA650B"/>
    <w:rsid w:val="00AA7204"/>
    <w:rsid w:val="00AB07CA"/>
    <w:rsid w:val="00AB1623"/>
    <w:rsid w:val="00AB19B6"/>
    <w:rsid w:val="00AB3E9A"/>
    <w:rsid w:val="00AB5919"/>
    <w:rsid w:val="00AB5B92"/>
    <w:rsid w:val="00AB77D4"/>
    <w:rsid w:val="00AC0AFA"/>
    <w:rsid w:val="00AC32C5"/>
    <w:rsid w:val="00AC337F"/>
    <w:rsid w:val="00AC3BD6"/>
    <w:rsid w:val="00AC674B"/>
    <w:rsid w:val="00AC6CC0"/>
    <w:rsid w:val="00AD229A"/>
    <w:rsid w:val="00AD696D"/>
    <w:rsid w:val="00AE0AEF"/>
    <w:rsid w:val="00AE2E77"/>
    <w:rsid w:val="00AE3A07"/>
    <w:rsid w:val="00AE5508"/>
    <w:rsid w:val="00AE5A16"/>
    <w:rsid w:val="00AF108F"/>
    <w:rsid w:val="00AF4F67"/>
    <w:rsid w:val="00AF60A0"/>
    <w:rsid w:val="00AF693F"/>
    <w:rsid w:val="00B012A3"/>
    <w:rsid w:val="00B04BB0"/>
    <w:rsid w:val="00B06C36"/>
    <w:rsid w:val="00B126B4"/>
    <w:rsid w:val="00B13F57"/>
    <w:rsid w:val="00B2231D"/>
    <w:rsid w:val="00B227D4"/>
    <w:rsid w:val="00B25390"/>
    <w:rsid w:val="00B257C2"/>
    <w:rsid w:val="00B2781C"/>
    <w:rsid w:val="00B308AE"/>
    <w:rsid w:val="00B346D6"/>
    <w:rsid w:val="00B351CD"/>
    <w:rsid w:val="00B37F18"/>
    <w:rsid w:val="00B40C56"/>
    <w:rsid w:val="00B4233C"/>
    <w:rsid w:val="00B42EF6"/>
    <w:rsid w:val="00B4318D"/>
    <w:rsid w:val="00B43503"/>
    <w:rsid w:val="00B43750"/>
    <w:rsid w:val="00B43E32"/>
    <w:rsid w:val="00B44EC1"/>
    <w:rsid w:val="00B46E25"/>
    <w:rsid w:val="00B46F46"/>
    <w:rsid w:val="00B475C3"/>
    <w:rsid w:val="00B50DD4"/>
    <w:rsid w:val="00B515E3"/>
    <w:rsid w:val="00B5331E"/>
    <w:rsid w:val="00B55F7D"/>
    <w:rsid w:val="00B57385"/>
    <w:rsid w:val="00B61FAF"/>
    <w:rsid w:val="00B631C7"/>
    <w:rsid w:val="00B65C4C"/>
    <w:rsid w:val="00B717F2"/>
    <w:rsid w:val="00B71A13"/>
    <w:rsid w:val="00B74D1E"/>
    <w:rsid w:val="00B759E0"/>
    <w:rsid w:val="00B763A0"/>
    <w:rsid w:val="00B77E3D"/>
    <w:rsid w:val="00B803E1"/>
    <w:rsid w:val="00B81196"/>
    <w:rsid w:val="00B81970"/>
    <w:rsid w:val="00B82004"/>
    <w:rsid w:val="00B83F24"/>
    <w:rsid w:val="00B85B72"/>
    <w:rsid w:val="00B86DB8"/>
    <w:rsid w:val="00B91336"/>
    <w:rsid w:val="00B9584A"/>
    <w:rsid w:val="00B95E55"/>
    <w:rsid w:val="00BA1D72"/>
    <w:rsid w:val="00BA28D2"/>
    <w:rsid w:val="00BA361A"/>
    <w:rsid w:val="00BA51D2"/>
    <w:rsid w:val="00BA543E"/>
    <w:rsid w:val="00BA58D6"/>
    <w:rsid w:val="00BA63FB"/>
    <w:rsid w:val="00BB20FB"/>
    <w:rsid w:val="00BB27F8"/>
    <w:rsid w:val="00BB3FB7"/>
    <w:rsid w:val="00BB4630"/>
    <w:rsid w:val="00BB6005"/>
    <w:rsid w:val="00BC2A05"/>
    <w:rsid w:val="00BC342D"/>
    <w:rsid w:val="00BC356A"/>
    <w:rsid w:val="00BC419F"/>
    <w:rsid w:val="00BC5618"/>
    <w:rsid w:val="00BC5EB7"/>
    <w:rsid w:val="00BC6690"/>
    <w:rsid w:val="00BD6444"/>
    <w:rsid w:val="00BD690A"/>
    <w:rsid w:val="00BD7095"/>
    <w:rsid w:val="00BE2998"/>
    <w:rsid w:val="00BE3DA8"/>
    <w:rsid w:val="00BE505D"/>
    <w:rsid w:val="00BE6E1E"/>
    <w:rsid w:val="00BE73BE"/>
    <w:rsid w:val="00BE7D46"/>
    <w:rsid w:val="00BF1458"/>
    <w:rsid w:val="00BF179F"/>
    <w:rsid w:val="00BF1BF4"/>
    <w:rsid w:val="00BF766F"/>
    <w:rsid w:val="00C030A8"/>
    <w:rsid w:val="00C0488C"/>
    <w:rsid w:val="00C05DB6"/>
    <w:rsid w:val="00C0654F"/>
    <w:rsid w:val="00C111DA"/>
    <w:rsid w:val="00C1261D"/>
    <w:rsid w:val="00C156A4"/>
    <w:rsid w:val="00C20F5D"/>
    <w:rsid w:val="00C2143D"/>
    <w:rsid w:val="00C21C85"/>
    <w:rsid w:val="00C232FA"/>
    <w:rsid w:val="00C313C2"/>
    <w:rsid w:val="00C34076"/>
    <w:rsid w:val="00C343B0"/>
    <w:rsid w:val="00C3477C"/>
    <w:rsid w:val="00C34B72"/>
    <w:rsid w:val="00C40613"/>
    <w:rsid w:val="00C4094A"/>
    <w:rsid w:val="00C42209"/>
    <w:rsid w:val="00C44484"/>
    <w:rsid w:val="00C44F33"/>
    <w:rsid w:val="00C50A8C"/>
    <w:rsid w:val="00C51F14"/>
    <w:rsid w:val="00C5285C"/>
    <w:rsid w:val="00C52A47"/>
    <w:rsid w:val="00C55B71"/>
    <w:rsid w:val="00C56F47"/>
    <w:rsid w:val="00C57652"/>
    <w:rsid w:val="00C6020A"/>
    <w:rsid w:val="00C61672"/>
    <w:rsid w:val="00C62A4E"/>
    <w:rsid w:val="00C62F07"/>
    <w:rsid w:val="00C62FC8"/>
    <w:rsid w:val="00C64100"/>
    <w:rsid w:val="00C66247"/>
    <w:rsid w:val="00C73614"/>
    <w:rsid w:val="00C7545E"/>
    <w:rsid w:val="00C75EB5"/>
    <w:rsid w:val="00C77462"/>
    <w:rsid w:val="00C81F3A"/>
    <w:rsid w:val="00C87EEE"/>
    <w:rsid w:val="00C937EB"/>
    <w:rsid w:val="00C95F91"/>
    <w:rsid w:val="00C96516"/>
    <w:rsid w:val="00CA025E"/>
    <w:rsid w:val="00CA4296"/>
    <w:rsid w:val="00CA4555"/>
    <w:rsid w:val="00CA474E"/>
    <w:rsid w:val="00CA61F4"/>
    <w:rsid w:val="00CA6AF1"/>
    <w:rsid w:val="00CA7C8B"/>
    <w:rsid w:val="00CB12DB"/>
    <w:rsid w:val="00CB62D2"/>
    <w:rsid w:val="00CC0781"/>
    <w:rsid w:val="00CC7C9B"/>
    <w:rsid w:val="00CD0E6F"/>
    <w:rsid w:val="00CD5C21"/>
    <w:rsid w:val="00CE3F62"/>
    <w:rsid w:val="00CE47EB"/>
    <w:rsid w:val="00CE497B"/>
    <w:rsid w:val="00CE61F2"/>
    <w:rsid w:val="00CE66F9"/>
    <w:rsid w:val="00CE7296"/>
    <w:rsid w:val="00CF09F4"/>
    <w:rsid w:val="00CF21AF"/>
    <w:rsid w:val="00CF31E2"/>
    <w:rsid w:val="00CF32CB"/>
    <w:rsid w:val="00CF3B16"/>
    <w:rsid w:val="00CF444C"/>
    <w:rsid w:val="00CF6FFC"/>
    <w:rsid w:val="00D00769"/>
    <w:rsid w:val="00D008BF"/>
    <w:rsid w:val="00D036BF"/>
    <w:rsid w:val="00D048A7"/>
    <w:rsid w:val="00D05C17"/>
    <w:rsid w:val="00D10304"/>
    <w:rsid w:val="00D11AA8"/>
    <w:rsid w:val="00D12DEE"/>
    <w:rsid w:val="00D16580"/>
    <w:rsid w:val="00D1670F"/>
    <w:rsid w:val="00D1795F"/>
    <w:rsid w:val="00D17A1A"/>
    <w:rsid w:val="00D201A2"/>
    <w:rsid w:val="00D22FF5"/>
    <w:rsid w:val="00D253DD"/>
    <w:rsid w:val="00D27924"/>
    <w:rsid w:val="00D27C36"/>
    <w:rsid w:val="00D30F86"/>
    <w:rsid w:val="00D31AFB"/>
    <w:rsid w:val="00D3284B"/>
    <w:rsid w:val="00D33B38"/>
    <w:rsid w:val="00D33E97"/>
    <w:rsid w:val="00D40546"/>
    <w:rsid w:val="00D42692"/>
    <w:rsid w:val="00D42D54"/>
    <w:rsid w:val="00D43151"/>
    <w:rsid w:val="00D464D5"/>
    <w:rsid w:val="00D47CBD"/>
    <w:rsid w:val="00D52152"/>
    <w:rsid w:val="00D52362"/>
    <w:rsid w:val="00D62615"/>
    <w:rsid w:val="00D633FC"/>
    <w:rsid w:val="00D641E5"/>
    <w:rsid w:val="00D64602"/>
    <w:rsid w:val="00D661EE"/>
    <w:rsid w:val="00D70767"/>
    <w:rsid w:val="00D70DB9"/>
    <w:rsid w:val="00D70F68"/>
    <w:rsid w:val="00D71F3E"/>
    <w:rsid w:val="00D71FA6"/>
    <w:rsid w:val="00D72763"/>
    <w:rsid w:val="00D72885"/>
    <w:rsid w:val="00D738FF"/>
    <w:rsid w:val="00D73CAD"/>
    <w:rsid w:val="00D745C0"/>
    <w:rsid w:val="00D749F4"/>
    <w:rsid w:val="00D770BB"/>
    <w:rsid w:val="00D8370A"/>
    <w:rsid w:val="00D852A7"/>
    <w:rsid w:val="00D91593"/>
    <w:rsid w:val="00D915EC"/>
    <w:rsid w:val="00D9282A"/>
    <w:rsid w:val="00D94D28"/>
    <w:rsid w:val="00D96A1B"/>
    <w:rsid w:val="00DA2910"/>
    <w:rsid w:val="00DA2F62"/>
    <w:rsid w:val="00DA3907"/>
    <w:rsid w:val="00DA5179"/>
    <w:rsid w:val="00DA62BD"/>
    <w:rsid w:val="00DA786C"/>
    <w:rsid w:val="00DA7E5D"/>
    <w:rsid w:val="00DB40BD"/>
    <w:rsid w:val="00DB4D52"/>
    <w:rsid w:val="00DC052B"/>
    <w:rsid w:val="00DC4595"/>
    <w:rsid w:val="00DD2DD8"/>
    <w:rsid w:val="00DD470E"/>
    <w:rsid w:val="00DD50D5"/>
    <w:rsid w:val="00DE2F82"/>
    <w:rsid w:val="00DE558A"/>
    <w:rsid w:val="00DE5D8A"/>
    <w:rsid w:val="00DE5EC2"/>
    <w:rsid w:val="00DE7273"/>
    <w:rsid w:val="00DF3BA8"/>
    <w:rsid w:val="00DF5AAA"/>
    <w:rsid w:val="00E003E0"/>
    <w:rsid w:val="00E01A5C"/>
    <w:rsid w:val="00E03C9C"/>
    <w:rsid w:val="00E05D16"/>
    <w:rsid w:val="00E10CCD"/>
    <w:rsid w:val="00E1172E"/>
    <w:rsid w:val="00E13F12"/>
    <w:rsid w:val="00E143E2"/>
    <w:rsid w:val="00E160EA"/>
    <w:rsid w:val="00E16AB5"/>
    <w:rsid w:val="00E25DD0"/>
    <w:rsid w:val="00E31704"/>
    <w:rsid w:val="00E31DAD"/>
    <w:rsid w:val="00E3311D"/>
    <w:rsid w:val="00E33D11"/>
    <w:rsid w:val="00E41C59"/>
    <w:rsid w:val="00E42490"/>
    <w:rsid w:val="00E43A50"/>
    <w:rsid w:val="00E44C9B"/>
    <w:rsid w:val="00E46343"/>
    <w:rsid w:val="00E46594"/>
    <w:rsid w:val="00E511FD"/>
    <w:rsid w:val="00E51E21"/>
    <w:rsid w:val="00E525FC"/>
    <w:rsid w:val="00E526BB"/>
    <w:rsid w:val="00E53D3D"/>
    <w:rsid w:val="00E565DC"/>
    <w:rsid w:val="00E56633"/>
    <w:rsid w:val="00E575FA"/>
    <w:rsid w:val="00E61774"/>
    <w:rsid w:val="00E630BA"/>
    <w:rsid w:val="00E6472D"/>
    <w:rsid w:val="00E64D3D"/>
    <w:rsid w:val="00E64ED8"/>
    <w:rsid w:val="00E65F5E"/>
    <w:rsid w:val="00E661BA"/>
    <w:rsid w:val="00E715EC"/>
    <w:rsid w:val="00E722BB"/>
    <w:rsid w:val="00E73657"/>
    <w:rsid w:val="00E7387E"/>
    <w:rsid w:val="00E802F8"/>
    <w:rsid w:val="00E80957"/>
    <w:rsid w:val="00E83862"/>
    <w:rsid w:val="00E84113"/>
    <w:rsid w:val="00E85FCC"/>
    <w:rsid w:val="00E86966"/>
    <w:rsid w:val="00E871C2"/>
    <w:rsid w:val="00E87E65"/>
    <w:rsid w:val="00E90EAB"/>
    <w:rsid w:val="00E96A2C"/>
    <w:rsid w:val="00EA1D89"/>
    <w:rsid w:val="00EA24E7"/>
    <w:rsid w:val="00EA5C56"/>
    <w:rsid w:val="00EA6539"/>
    <w:rsid w:val="00EA6F78"/>
    <w:rsid w:val="00EB126B"/>
    <w:rsid w:val="00EB1718"/>
    <w:rsid w:val="00EB5E6C"/>
    <w:rsid w:val="00EC3551"/>
    <w:rsid w:val="00EC526B"/>
    <w:rsid w:val="00EC60A5"/>
    <w:rsid w:val="00EC77FD"/>
    <w:rsid w:val="00EC78A6"/>
    <w:rsid w:val="00ED07EC"/>
    <w:rsid w:val="00ED220F"/>
    <w:rsid w:val="00ED2CB5"/>
    <w:rsid w:val="00ED4C6A"/>
    <w:rsid w:val="00ED4F90"/>
    <w:rsid w:val="00ED626C"/>
    <w:rsid w:val="00EE0708"/>
    <w:rsid w:val="00EE0CA3"/>
    <w:rsid w:val="00EE25C1"/>
    <w:rsid w:val="00EE39B5"/>
    <w:rsid w:val="00EE6CF4"/>
    <w:rsid w:val="00EE7F23"/>
    <w:rsid w:val="00EF0B0A"/>
    <w:rsid w:val="00EF1682"/>
    <w:rsid w:val="00EF2528"/>
    <w:rsid w:val="00EF290A"/>
    <w:rsid w:val="00EF6DD2"/>
    <w:rsid w:val="00EF74E9"/>
    <w:rsid w:val="00F001A6"/>
    <w:rsid w:val="00F028AE"/>
    <w:rsid w:val="00F03B4F"/>
    <w:rsid w:val="00F065F7"/>
    <w:rsid w:val="00F06C62"/>
    <w:rsid w:val="00F06D5C"/>
    <w:rsid w:val="00F10635"/>
    <w:rsid w:val="00F11261"/>
    <w:rsid w:val="00F255CA"/>
    <w:rsid w:val="00F256AD"/>
    <w:rsid w:val="00F2674A"/>
    <w:rsid w:val="00F26E71"/>
    <w:rsid w:val="00F30295"/>
    <w:rsid w:val="00F320F8"/>
    <w:rsid w:val="00F332D8"/>
    <w:rsid w:val="00F35D15"/>
    <w:rsid w:val="00F35FF8"/>
    <w:rsid w:val="00F36D96"/>
    <w:rsid w:val="00F467FE"/>
    <w:rsid w:val="00F472A7"/>
    <w:rsid w:val="00F54B5C"/>
    <w:rsid w:val="00F568E3"/>
    <w:rsid w:val="00F608FB"/>
    <w:rsid w:val="00F614CE"/>
    <w:rsid w:val="00F61D31"/>
    <w:rsid w:val="00F625E9"/>
    <w:rsid w:val="00F67624"/>
    <w:rsid w:val="00F67D77"/>
    <w:rsid w:val="00F71348"/>
    <w:rsid w:val="00F7442E"/>
    <w:rsid w:val="00F75326"/>
    <w:rsid w:val="00F7689A"/>
    <w:rsid w:val="00F7794C"/>
    <w:rsid w:val="00F823D7"/>
    <w:rsid w:val="00F847E3"/>
    <w:rsid w:val="00F86489"/>
    <w:rsid w:val="00F8674D"/>
    <w:rsid w:val="00F8775D"/>
    <w:rsid w:val="00F9232A"/>
    <w:rsid w:val="00F92601"/>
    <w:rsid w:val="00F939AD"/>
    <w:rsid w:val="00F947A5"/>
    <w:rsid w:val="00F94E4D"/>
    <w:rsid w:val="00F957B9"/>
    <w:rsid w:val="00F96FF9"/>
    <w:rsid w:val="00F97ECC"/>
    <w:rsid w:val="00FA241A"/>
    <w:rsid w:val="00FA36F2"/>
    <w:rsid w:val="00FA3B15"/>
    <w:rsid w:val="00FA436F"/>
    <w:rsid w:val="00FA58A6"/>
    <w:rsid w:val="00FB0A84"/>
    <w:rsid w:val="00FB1C1E"/>
    <w:rsid w:val="00FB232B"/>
    <w:rsid w:val="00FB776C"/>
    <w:rsid w:val="00FC2288"/>
    <w:rsid w:val="00FC24DB"/>
    <w:rsid w:val="00FC27E9"/>
    <w:rsid w:val="00FC7F62"/>
    <w:rsid w:val="00FD6B48"/>
    <w:rsid w:val="00FE1590"/>
    <w:rsid w:val="00FE2F2C"/>
    <w:rsid w:val="00FE306E"/>
    <w:rsid w:val="00FE30C8"/>
    <w:rsid w:val="00FE6AA4"/>
    <w:rsid w:val="00FE73F4"/>
    <w:rsid w:val="00FE75BE"/>
    <w:rsid w:val="00FE7E33"/>
    <w:rsid w:val="00FF09CE"/>
    <w:rsid w:val="00FF3169"/>
    <w:rsid w:val="00FF420E"/>
    <w:rsid w:val="00FF427E"/>
    <w:rsid w:val="00FF488C"/>
    <w:rsid w:val="00FF5EB9"/>
    <w:rsid w:val="00FF6F27"/>
    <w:rsid w:val="0B422E1E"/>
    <w:rsid w:val="2D824E73"/>
    <w:rsid w:val="3D9A2937"/>
    <w:rsid w:val="576D775C"/>
    <w:rsid w:val="6E5673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23"/>
    <w:qFormat/>
    <w:uiPriority w:val="99"/>
    <w:pPr>
      <w:keepNext/>
      <w:keepLines/>
      <w:spacing w:before="340" w:after="330" w:line="576" w:lineRule="auto"/>
      <w:outlineLvl w:val="0"/>
    </w:pPr>
    <w:rPr>
      <w:b/>
      <w:bCs/>
      <w:kern w:val="44"/>
      <w:sz w:val="44"/>
      <w:szCs w:val="44"/>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line="590" w:lineRule="atLeast"/>
      <w:ind w:firstLine="420" w:firstLineChars="200"/>
    </w:pPr>
    <w:rPr>
      <w:rFonts w:eastAsia="方正仿宋_GBK"/>
      <w:szCs w:val="24"/>
    </w:rPr>
  </w:style>
  <w:style w:type="paragraph" w:styleId="3">
    <w:name w:val="Body Text Indent"/>
    <w:basedOn w:val="1"/>
    <w:link w:val="54"/>
    <w:qFormat/>
    <w:uiPriority w:val="99"/>
    <w:pPr>
      <w:spacing w:after="120"/>
      <w:ind w:left="420" w:leftChars="200"/>
    </w:pPr>
  </w:style>
  <w:style w:type="paragraph" w:styleId="5">
    <w:name w:val="annotation text"/>
    <w:basedOn w:val="1"/>
    <w:link w:val="33"/>
    <w:semiHidden/>
    <w:qFormat/>
    <w:uiPriority w:val="99"/>
    <w:pPr>
      <w:jc w:val="left"/>
    </w:pPr>
    <w:rPr>
      <w:rFonts w:ascii="Calibri" w:hAnsi="Calibri" w:eastAsia="宋体" w:cs="Calibri"/>
      <w:sz w:val="22"/>
      <w:szCs w:val="22"/>
    </w:rPr>
  </w:style>
  <w:style w:type="paragraph" w:styleId="6">
    <w:name w:val="Body Text"/>
    <w:basedOn w:val="1"/>
    <w:link w:val="29"/>
    <w:qFormat/>
    <w:uiPriority w:val="99"/>
    <w:pPr>
      <w:jc w:val="center"/>
    </w:pPr>
    <w:rPr>
      <w:rFonts w:eastAsia="黑体"/>
      <w:sz w:val="44"/>
      <w:szCs w:val="44"/>
    </w:rPr>
  </w:style>
  <w:style w:type="paragraph" w:styleId="7">
    <w:name w:val="Plain Text"/>
    <w:basedOn w:val="1"/>
    <w:link w:val="39"/>
    <w:qFormat/>
    <w:uiPriority w:val="99"/>
    <w:rPr>
      <w:rFonts w:ascii="宋体" w:hAnsi="Courier New" w:eastAsia="宋体" w:cs="宋体"/>
      <w:sz w:val="21"/>
      <w:szCs w:val="21"/>
    </w:rPr>
  </w:style>
  <w:style w:type="paragraph" w:styleId="8">
    <w:name w:val="Date"/>
    <w:basedOn w:val="1"/>
    <w:next w:val="1"/>
    <w:link w:val="28"/>
    <w:qFormat/>
    <w:uiPriority w:val="99"/>
    <w:pPr>
      <w:ind w:left="100" w:leftChars="2500"/>
    </w:pPr>
  </w:style>
  <w:style w:type="paragraph" w:styleId="9">
    <w:name w:val="Balloon Text"/>
    <w:basedOn w:val="1"/>
    <w:link w:val="27"/>
    <w:semiHidden/>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40"/>
    <w:qFormat/>
    <w:uiPriority w:val="99"/>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link w:val="49"/>
    <w:qFormat/>
    <w:uiPriority w:val="99"/>
    <w:pPr>
      <w:spacing w:line="640" w:lineRule="atLeast"/>
      <w:jc w:val="center"/>
    </w:pPr>
    <w:rPr>
      <w:rFonts w:ascii="Arial" w:hAnsi="Arial" w:eastAsia="方正小标宋_GBK" w:cs="Arial"/>
      <w:sz w:val="21"/>
      <w:szCs w:val="21"/>
    </w:rPr>
  </w:style>
  <w:style w:type="paragraph" w:styleId="15">
    <w:name w:val="annotation subject"/>
    <w:basedOn w:val="5"/>
    <w:next w:val="5"/>
    <w:link w:val="35"/>
    <w:semiHidden/>
    <w:qFormat/>
    <w:uiPriority w:val="99"/>
    <w:rPr>
      <w:b/>
      <w:bCs/>
    </w:r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b/>
      <w:bCs/>
    </w:rPr>
  </w:style>
  <w:style w:type="character" w:styleId="20">
    <w:name w:val="page number"/>
    <w:basedOn w:val="18"/>
    <w:qFormat/>
    <w:uiPriority w:val="99"/>
  </w:style>
  <w:style w:type="character" w:styleId="21">
    <w:name w:val="Emphasis"/>
    <w:basedOn w:val="18"/>
    <w:qFormat/>
    <w:uiPriority w:val="99"/>
    <w:rPr>
      <w:color w:val="auto"/>
    </w:rPr>
  </w:style>
  <w:style w:type="character" w:styleId="22">
    <w:name w:val="Hyperlink"/>
    <w:basedOn w:val="18"/>
    <w:qFormat/>
    <w:uiPriority w:val="99"/>
    <w:rPr>
      <w:color w:val="0000FF"/>
      <w:u w:val="single"/>
    </w:rPr>
  </w:style>
  <w:style w:type="character" w:customStyle="1" w:styleId="23">
    <w:name w:val="Heading 1 Char"/>
    <w:basedOn w:val="18"/>
    <w:link w:val="4"/>
    <w:qFormat/>
    <w:locked/>
    <w:uiPriority w:val="99"/>
    <w:rPr>
      <w:rFonts w:eastAsia="仿宋_GB2312"/>
      <w:b/>
      <w:bCs/>
      <w:kern w:val="44"/>
      <w:sz w:val="44"/>
      <w:szCs w:val="44"/>
      <w:lang w:val="en-US" w:eastAsia="zh-CN"/>
    </w:rPr>
  </w:style>
  <w:style w:type="paragraph" w:customStyle="1" w:styleId="24">
    <w:name w:val="Char"/>
    <w:basedOn w:val="1"/>
    <w:qFormat/>
    <w:uiPriority w:val="99"/>
    <w:pPr>
      <w:widowControl/>
      <w:spacing w:after="160" w:line="240" w:lineRule="exact"/>
      <w:jc w:val="left"/>
    </w:pPr>
    <w:rPr>
      <w:rFonts w:ascii="Arial" w:hAnsi="Arial" w:eastAsia="宋体" w:cs="Arial"/>
      <w:b/>
      <w:bCs/>
      <w:kern w:val="0"/>
      <w:sz w:val="24"/>
      <w:szCs w:val="24"/>
      <w:lang w:eastAsia="en-US"/>
    </w:rPr>
  </w:style>
  <w:style w:type="character" w:customStyle="1" w:styleId="25">
    <w:name w:val="Header Char"/>
    <w:basedOn w:val="18"/>
    <w:link w:val="11"/>
    <w:qFormat/>
    <w:locked/>
    <w:uiPriority w:val="99"/>
    <w:rPr>
      <w:rFonts w:eastAsia="仿宋_GB2312"/>
      <w:kern w:val="2"/>
      <w:sz w:val="18"/>
      <w:szCs w:val="18"/>
      <w:lang w:val="en-US" w:eastAsia="zh-CN"/>
    </w:rPr>
  </w:style>
  <w:style w:type="character" w:customStyle="1" w:styleId="26">
    <w:name w:val="Footer Char"/>
    <w:basedOn w:val="18"/>
    <w:link w:val="10"/>
    <w:qFormat/>
    <w:locked/>
    <w:uiPriority w:val="99"/>
    <w:rPr>
      <w:rFonts w:eastAsia="仿宋_GB2312"/>
      <w:kern w:val="2"/>
      <w:sz w:val="18"/>
      <w:szCs w:val="18"/>
      <w:lang w:val="en-US" w:eastAsia="zh-CN"/>
    </w:rPr>
  </w:style>
  <w:style w:type="character" w:customStyle="1" w:styleId="27">
    <w:name w:val="Balloon Text Char"/>
    <w:basedOn w:val="18"/>
    <w:link w:val="9"/>
    <w:semiHidden/>
    <w:qFormat/>
    <w:locked/>
    <w:uiPriority w:val="99"/>
    <w:rPr>
      <w:rFonts w:eastAsia="仿宋_GB2312"/>
      <w:sz w:val="2"/>
      <w:szCs w:val="2"/>
    </w:rPr>
  </w:style>
  <w:style w:type="character" w:customStyle="1" w:styleId="28">
    <w:name w:val="Date Char"/>
    <w:basedOn w:val="18"/>
    <w:link w:val="8"/>
    <w:semiHidden/>
    <w:qFormat/>
    <w:locked/>
    <w:uiPriority w:val="99"/>
    <w:rPr>
      <w:rFonts w:eastAsia="仿宋_GB2312"/>
      <w:sz w:val="32"/>
      <w:szCs w:val="32"/>
    </w:rPr>
  </w:style>
  <w:style w:type="character" w:customStyle="1" w:styleId="29">
    <w:name w:val="Body Text Char"/>
    <w:basedOn w:val="18"/>
    <w:link w:val="6"/>
    <w:semiHidden/>
    <w:qFormat/>
    <w:locked/>
    <w:uiPriority w:val="99"/>
    <w:rPr>
      <w:rFonts w:eastAsia="仿宋_GB2312"/>
      <w:sz w:val="32"/>
      <w:szCs w:val="32"/>
    </w:rPr>
  </w:style>
  <w:style w:type="paragraph" w:customStyle="1" w:styleId="30">
    <w:name w:val="Char Char Char Char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31">
    <w:name w:val="p0"/>
    <w:basedOn w:val="1"/>
    <w:qFormat/>
    <w:uiPriority w:val="99"/>
    <w:pPr>
      <w:widowControl/>
    </w:pPr>
    <w:rPr>
      <w:rFonts w:eastAsia="宋体"/>
      <w:kern w:val="0"/>
      <w:sz w:val="21"/>
      <w:szCs w:val="21"/>
    </w:rPr>
  </w:style>
  <w:style w:type="character" w:customStyle="1" w:styleId="32">
    <w:name w:val="Comment Text Char"/>
    <w:semiHidden/>
    <w:qFormat/>
    <w:locked/>
    <w:uiPriority w:val="99"/>
    <w:rPr>
      <w:rFonts w:ascii="Calibri" w:hAnsi="Calibri" w:eastAsia="宋体" w:cs="Calibri"/>
      <w:kern w:val="2"/>
      <w:sz w:val="22"/>
      <w:szCs w:val="22"/>
      <w:lang w:val="en-US" w:eastAsia="zh-CN"/>
    </w:rPr>
  </w:style>
  <w:style w:type="character" w:customStyle="1" w:styleId="33">
    <w:name w:val="Comment Text Char1"/>
    <w:basedOn w:val="18"/>
    <w:link w:val="5"/>
    <w:semiHidden/>
    <w:qFormat/>
    <w:locked/>
    <w:uiPriority w:val="99"/>
    <w:rPr>
      <w:rFonts w:eastAsia="仿宋_GB2312"/>
      <w:sz w:val="32"/>
      <w:szCs w:val="32"/>
    </w:rPr>
  </w:style>
  <w:style w:type="character" w:customStyle="1" w:styleId="34">
    <w:name w:val="Comment Subject Char"/>
    <w:qFormat/>
    <w:locked/>
    <w:uiPriority w:val="99"/>
    <w:rPr>
      <w:rFonts w:ascii="Calibri" w:hAnsi="Calibri" w:eastAsia="宋体" w:cs="Calibri"/>
      <w:b/>
      <w:bCs/>
      <w:kern w:val="2"/>
      <w:sz w:val="22"/>
      <w:szCs w:val="22"/>
      <w:lang w:val="en-US" w:eastAsia="zh-CN"/>
    </w:rPr>
  </w:style>
  <w:style w:type="character" w:customStyle="1" w:styleId="35">
    <w:name w:val="Comment Subject Char1"/>
    <w:basedOn w:val="32"/>
    <w:link w:val="15"/>
    <w:semiHidden/>
    <w:qFormat/>
    <w:locked/>
    <w:uiPriority w:val="99"/>
    <w:rPr>
      <w:rFonts w:eastAsia="仿宋_GB2312"/>
      <w:b/>
      <w:bCs/>
      <w:sz w:val="32"/>
      <w:szCs w:val="32"/>
    </w:rPr>
  </w:style>
  <w:style w:type="character" w:customStyle="1" w:styleId="36">
    <w:name w:val="green121"/>
    <w:basedOn w:val="18"/>
    <w:qFormat/>
    <w:uiPriority w:val="99"/>
  </w:style>
  <w:style w:type="paragraph" w:customStyle="1" w:styleId="37">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8">
    <w:name w:val="_Style 10"/>
    <w:basedOn w:val="1"/>
    <w:qFormat/>
    <w:uiPriority w:val="99"/>
    <w:pPr>
      <w:widowControl/>
      <w:spacing w:after="160" w:line="240" w:lineRule="exact"/>
      <w:jc w:val="left"/>
    </w:pPr>
    <w:rPr>
      <w:rFonts w:eastAsia="宋体"/>
      <w:sz w:val="21"/>
      <w:szCs w:val="21"/>
    </w:rPr>
  </w:style>
  <w:style w:type="character" w:customStyle="1" w:styleId="39">
    <w:name w:val="Plain Text Char"/>
    <w:basedOn w:val="18"/>
    <w:link w:val="7"/>
    <w:semiHidden/>
    <w:qFormat/>
    <w:locked/>
    <w:uiPriority w:val="99"/>
    <w:rPr>
      <w:rFonts w:ascii="宋体" w:hAnsi="Courier New" w:cs="宋体"/>
      <w:sz w:val="21"/>
      <w:szCs w:val="21"/>
    </w:rPr>
  </w:style>
  <w:style w:type="character" w:customStyle="1" w:styleId="40">
    <w:name w:val="Body Text 2 Char"/>
    <w:basedOn w:val="18"/>
    <w:link w:val="12"/>
    <w:semiHidden/>
    <w:qFormat/>
    <w:locked/>
    <w:uiPriority w:val="99"/>
    <w:rPr>
      <w:rFonts w:eastAsia="仿宋_GB2312"/>
      <w:sz w:val="32"/>
      <w:szCs w:val="32"/>
    </w:rPr>
  </w:style>
  <w:style w:type="character" w:customStyle="1" w:styleId="41">
    <w:name w:val="Char Char2"/>
    <w:basedOn w:val="18"/>
    <w:semiHidden/>
    <w:qFormat/>
    <w:locked/>
    <w:uiPriority w:val="99"/>
    <w:rPr>
      <w:rFonts w:ascii="宋体" w:hAnsi="宋体" w:eastAsia="宋体" w:cs="宋体"/>
      <w:kern w:val="2"/>
      <w:sz w:val="21"/>
      <w:szCs w:val="21"/>
      <w:lang w:val="en-US" w:eastAsia="zh-CN"/>
    </w:rPr>
  </w:style>
  <w:style w:type="paragraph" w:customStyle="1" w:styleId="42">
    <w:name w:val="一级条标题"/>
    <w:next w:val="1"/>
    <w:qFormat/>
    <w:uiPriority w:val="99"/>
    <w:pPr>
      <w:outlineLvl w:val="2"/>
    </w:pPr>
    <w:rPr>
      <w:rFonts w:ascii="Times New Roman" w:hAnsi="Times New Roman" w:eastAsia="黑体" w:cs="Times New Roman"/>
      <w:kern w:val="0"/>
      <w:sz w:val="21"/>
      <w:szCs w:val="21"/>
      <w:lang w:val="en-US" w:eastAsia="zh-CN" w:bidi="ar-SA"/>
    </w:rPr>
  </w:style>
  <w:style w:type="paragraph" w:customStyle="1" w:styleId="43">
    <w:name w:val="二级条标题"/>
    <w:basedOn w:val="42"/>
    <w:next w:val="1"/>
    <w:qFormat/>
    <w:uiPriority w:val="99"/>
    <w:pPr>
      <w:tabs>
        <w:tab w:val="left" w:pos="360"/>
      </w:tabs>
      <w:ind w:left="735"/>
      <w:outlineLvl w:val="3"/>
    </w:pPr>
  </w:style>
  <w:style w:type="paragraph" w:customStyle="1" w:styleId="44">
    <w:name w:val="三级条标题"/>
    <w:basedOn w:val="43"/>
    <w:next w:val="1"/>
    <w:qFormat/>
    <w:uiPriority w:val="99"/>
    <w:pPr>
      <w:spacing w:beforeLines="50"/>
      <w:ind w:left="1470"/>
      <w:outlineLvl w:val="4"/>
    </w:pPr>
    <w:rPr>
      <w:rFonts w:ascii="黑体" w:cs="黑体"/>
    </w:rPr>
  </w:style>
  <w:style w:type="paragraph" w:customStyle="1" w:styleId="45">
    <w:name w:val="标题3"/>
    <w:basedOn w:val="1"/>
    <w:next w:val="1"/>
    <w:qFormat/>
    <w:uiPriority w:val="99"/>
    <w:pPr>
      <w:autoSpaceDE w:val="0"/>
      <w:autoSpaceDN w:val="0"/>
      <w:snapToGrid w:val="0"/>
      <w:spacing w:line="590" w:lineRule="atLeast"/>
      <w:ind w:firstLine="624"/>
    </w:pPr>
    <w:rPr>
      <w:rFonts w:eastAsia="方正黑体_GBK"/>
      <w:kern w:val="0"/>
    </w:rPr>
  </w:style>
  <w:style w:type="character" w:customStyle="1" w:styleId="46">
    <w:name w:val="Char Char1"/>
    <w:qFormat/>
    <w:uiPriority w:val="99"/>
    <w:rPr>
      <w:rFonts w:eastAsia="宋体"/>
      <w:kern w:val="2"/>
      <w:sz w:val="18"/>
      <w:szCs w:val="18"/>
      <w:lang w:val="en-US" w:eastAsia="zh-CN"/>
    </w:rPr>
  </w:style>
  <w:style w:type="paragraph" w:customStyle="1" w:styleId="47">
    <w:name w:val="标题1"/>
    <w:basedOn w:val="14"/>
    <w:qFormat/>
    <w:uiPriority w:val="99"/>
    <w:rPr>
      <w:rFonts w:ascii="Times New Roman" w:hAnsi="Times New Roman" w:cs="Times New Roman"/>
      <w:sz w:val="44"/>
      <w:szCs w:val="44"/>
    </w:rPr>
  </w:style>
  <w:style w:type="paragraph" w:customStyle="1" w:styleId="48">
    <w:name w:val="文头"/>
    <w:basedOn w:val="1"/>
    <w:qFormat/>
    <w:uiPriority w:val="99"/>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character" w:customStyle="1" w:styleId="49">
    <w:name w:val="Title Char"/>
    <w:basedOn w:val="18"/>
    <w:link w:val="14"/>
    <w:qFormat/>
    <w:locked/>
    <w:uiPriority w:val="99"/>
    <w:rPr>
      <w:rFonts w:ascii="Arial" w:hAnsi="Arial" w:eastAsia="方正小标宋_GBK" w:cs="Arial"/>
      <w:kern w:val="2"/>
      <w:sz w:val="32"/>
      <w:szCs w:val="32"/>
      <w:lang w:val="en-US" w:eastAsia="zh-CN"/>
    </w:rPr>
  </w:style>
  <w:style w:type="paragraph" w:customStyle="1" w:styleId="50">
    <w:name w:val="List Paragraph1"/>
    <w:basedOn w:val="1"/>
    <w:qFormat/>
    <w:uiPriority w:val="99"/>
    <w:pPr>
      <w:ind w:firstLine="420" w:firstLineChars="200"/>
    </w:pPr>
    <w:rPr>
      <w:rFonts w:ascii="Calibri" w:hAnsi="Calibri" w:eastAsia="宋体" w:cs="Calibri"/>
      <w:sz w:val="21"/>
      <w:szCs w:val="21"/>
    </w:rPr>
  </w:style>
  <w:style w:type="paragraph" w:customStyle="1" w:styleId="51">
    <w:name w:val="标题2"/>
    <w:basedOn w:val="47"/>
    <w:qFormat/>
    <w:uiPriority w:val="99"/>
    <w:pPr>
      <w:spacing w:line="590" w:lineRule="atLeast"/>
    </w:pPr>
    <w:rPr>
      <w:rFonts w:eastAsia="方正楷体_GBK"/>
      <w:sz w:val="32"/>
      <w:szCs w:val="32"/>
    </w:rPr>
  </w:style>
  <w:style w:type="paragraph" w:customStyle="1" w:styleId="52">
    <w:name w:val="1 Char Char Char Char"/>
    <w:basedOn w:val="1"/>
    <w:qFormat/>
    <w:uiPriority w:val="99"/>
    <w:rPr>
      <w:rFonts w:ascii="Tahoma" w:hAnsi="Tahoma" w:eastAsia="宋体" w:cs="Tahoma"/>
      <w:sz w:val="24"/>
      <w:szCs w:val="24"/>
    </w:rPr>
  </w:style>
  <w:style w:type="character" w:customStyle="1" w:styleId="53">
    <w:name w:val="页脚 Char1"/>
    <w:basedOn w:val="18"/>
    <w:qFormat/>
    <w:locked/>
    <w:uiPriority w:val="99"/>
    <w:rPr>
      <w:kern w:val="2"/>
      <w:sz w:val="18"/>
      <w:szCs w:val="18"/>
    </w:rPr>
  </w:style>
  <w:style w:type="character" w:customStyle="1" w:styleId="54">
    <w:name w:val="Body Text Indent Char"/>
    <w:basedOn w:val="18"/>
    <w:link w:val="3"/>
    <w:semiHidden/>
    <w:qFormat/>
    <w:locked/>
    <w:uiPriority w:val="99"/>
    <w:rPr>
      <w:rFonts w:eastAsia="仿宋_GB2312"/>
      <w:sz w:val="32"/>
      <w:szCs w:val="32"/>
    </w:rPr>
  </w:style>
  <w:style w:type="character" w:customStyle="1" w:styleId="55">
    <w:name w:val="Char Char"/>
    <w:basedOn w:val="18"/>
    <w:qFormat/>
    <w:uiPriority w:val="99"/>
    <w:rPr>
      <w:rFonts w:eastAsia="仿宋_GB2312"/>
      <w:kern w:val="2"/>
      <w:sz w:val="18"/>
      <w:szCs w:val="18"/>
      <w:lang w:val="en-US" w:eastAsia="zh-CN"/>
    </w:rPr>
  </w:style>
  <w:style w:type="character" w:customStyle="1" w:styleId="56">
    <w:name w:val="NormalCharacter"/>
    <w:link w:val="57"/>
    <w:semiHidden/>
    <w:qFormat/>
    <w:locked/>
    <w:uiPriority w:val="99"/>
    <w:rPr>
      <w:rFonts w:ascii="Arial" w:hAnsi="Arial" w:eastAsia="宋体" w:cs="Arial"/>
      <w:b/>
      <w:bCs/>
      <w:sz w:val="24"/>
      <w:szCs w:val="24"/>
      <w:lang w:val="en-US" w:eastAsia="en-US"/>
    </w:rPr>
  </w:style>
  <w:style w:type="paragraph" w:customStyle="1" w:styleId="57">
    <w:name w:val="UserStyle_0"/>
    <w:basedOn w:val="1"/>
    <w:link w:val="56"/>
    <w:qFormat/>
    <w:uiPriority w:val="99"/>
    <w:pPr>
      <w:widowControl/>
      <w:spacing w:after="160" w:line="240" w:lineRule="exact"/>
      <w:jc w:val="left"/>
      <w:textAlignment w:val="baseline"/>
    </w:pPr>
    <w:rPr>
      <w:rFonts w:ascii="Arial" w:hAnsi="Arial" w:eastAsia="宋体" w:cs="Arial"/>
      <w:b/>
      <w:bCs/>
      <w:kern w:val="0"/>
      <w:sz w:val="24"/>
      <w:szCs w:val="24"/>
      <w:lang w:eastAsia="en-US"/>
    </w:rPr>
  </w:style>
  <w:style w:type="character" w:customStyle="1" w:styleId="58">
    <w:name w:val="15"/>
    <w:basedOn w:val="18"/>
    <w:qFormat/>
    <w:uiPriority w:val="99"/>
    <w:rPr>
      <w:rFonts w:ascii="Calibri" w:hAnsi="Calibri" w:eastAsia="宋体" w:cs="Calibri"/>
      <w:kern w:val="2"/>
      <w:sz w:val="21"/>
      <w:szCs w:val="21"/>
    </w:rPr>
  </w:style>
  <w:style w:type="character" w:customStyle="1" w:styleId="59">
    <w:name w:val="Char Char11"/>
    <w:basedOn w:val="18"/>
    <w:semiHidden/>
    <w:qFormat/>
    <w:uiPriority w:val="99"/>
    <w:rPr>
      <w:rFonts w:eastAsia="仿宋_GB2312"/>
      <w:kern w:val="2"/>
      <w:sz w:val="18"/>
      <w:szCs w:val="18"/>
      <w:lang w:val="en-US" w:eastAsia="zh-CN"/>
    </w:rPr>
  </w:style>
  <w:style w:type="character" w:customStyle="1" w:styleId="60">
    <w:name w:val="Char Char10"/>
    <w:basedOn w:val="18"/>
    <w:semiHidden/>
    <w:qFormat/>
    <w:uiPriority w:val="99"/>
    <w:rPr>
      <w:rFonts w:eastAsia="仿宋_GB2312"/>
      <w:kern w:val="2"/>
      <w:sz w:val="18"/>
      <w:szCs w:val="18"/>
      <w:lang w:val="en-US" w:eastAsia="zh-CN"/>
    </w:rPr>
  </w:style>
  <w:style w:type="character" w:customStyle="1" w:styleId="61">
    <w:name w:val="font01"/>
    <w:basedOn w:val="18"/>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3157</Words>
  <Characters>3213</Characters>
  <Lines>0</Lines>
  <Paragraphs>0</Paragraphs>
  <TotalTime>7</TotalTime>
  <ScaleCrop>false</ScaleCrop>
  <LinksUpToDate>false</LinksUpToDate>
  <CharactersWithSpaces>3326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2021-01-19T09:03:00Z</dcterms:created>
  <dc:creator>仲伟玮</dc:creator>
  <cp:lastModifiedBy>AAA小青虫13182296339</cp:lastModifiedBy>
  <cp:lastPrinted>2023-05-25T02:23:25Z</cp:lastPrinted>
  <dcterms:modified xsi:type="dcterms:W3CDTF">2023-05-25T02:23:28Z</dcterms:modified>
  <dc:title>苏农办发〔2010〕10号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0C8FFD5ABA0B47099A8789F6B8C8E6C4_13</vt:lpwstr>
  </property>
</Properties>
</file>